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p>
    <w:p>
      <w:pPr>
        <w:jc w:val="center"/>
        <w:rPr>
          <w:rFonts w:ascii="Times New Roman" w:hAnsi="Times New Roman" w:eastAsia="方正小标宋简体"/>
          <w:b/>
          <w:bCs/>
          <w:sz w:val="36"/>
          <w:szCs w:val="24"/>
        </w:rPr>
      </w:pPr>
      <w:r>
        <w:rPr>
          <w:rFonts w:ascii="Times New Roman" w:hAnsi="Times New Roman" w:eastAsia="方正小标宋简体"/>
          <w:b/>
          <w:bCs/>
          <w:sz w:val="36"/>
          <w:szCs w:val="24"/>
        </w:rPr>
        <w:t>武当山道教事务服务中心202</w:t>
      </w:r>
      <w:r>
        <w:rPr>
          <w:rFonts w:hint="eastAsia" w:ascii="Times New Roman" w:hAnsi="Times New Roman" w:eastAsia="方正小标宋简体"/>
          <w:b/>
          <w:bCs/>
          <w:sz w:val="36"/>
          <w:szCs w:val="24"/>
        </w:rPr>
        <w:t>1</w:t>
      </w:r>
      <w:r>
        <w:rPr>
          <w:rFonts w:ascii="Times New Roman" w:hAnsi="Times New Roman" w:eastAsia="方正小标宋简体"/>
          <w:b/>
          <w:bCs/>
          <w:sz w:val="36"/>
          <w:szCs w:val="24"/>
        </w:rPr>
        <w:t>年</w:t>
      </w:r>
      <w:r>
        <w:rPr>
          <w:rFonts w:hint="eastAsia" w:ascii="Times New Roman" w:hAnsi="Times New Roman" w:eastAsia="方正小标宋简体"/>
          <w:b/>
          <w:bCs/>
          <w:sz w:val="36"/>
          <w:szCs w:val="24"/>
        </w:rPr>
        <w:t>度</w:t>
      </w:r>
      <w:r>
        <w:rPr>
          <w:rFonts w:ascii="Times New Roman" w:hAnsi="Times New Roman" w:eastAsia="方正小标宋简体"/>
          <w:b/>
          <w:bCs/>
          <w:sz w:val="36"/>
          <w:szCs w:val="24"/>
        </w:rPr>
        <w:t>单位决算</w:t>
      </w:r>
    </w:p>
    <w:p>
      <w:pPr>
        <w:ind w:firstLine="608" w:firstLineChars="200"/>
        <w:rPr>
          <w:rFonts w:ascii="Times New Roman" w:hAnsi="Times New Roman"/>
        </w:rPr>
      </w:pPr>
    </w:p>
    <w:p>
      <w:pPr>
        <w:jc w:val="center"/>
        <w:rPr>
          <w:rFonts w:ascii="Times New Roman" w:hAnsi="Times New Roman" w:eastAsia="方正小标宋简体"/>
        </w:rPr>
      </w:pPr>
      <w:r>
        <w:rPr>
          <w:rFonts w:ascii="Times New Roman" w:hAnsi="Times New Roman" w:eastAsia="方正小标宋简体"/>
        </w:rPr>
        <w:t>目录</w:t>
      </w:r>
    </w:p>
    <w:p>
      <w:pPr>
        <w:ind w:firstLine="608" w:firstLineChars="200"/>
        <w:rPr>
          <w:rFonts w:ascii="Times New Roman" w:hAnsi="Times New Roman"/>
        </w:rPr>
      </w:pPr>
    </w:p>
    <w:p>
      <w:pPr>
        <w:ind w:firstLine="608" w:firstLineChars="200"/>
        <w:rPr>
          <w:rFonts w:ascii="Times New Roman" w:hAnsi="Times New Roman" w:eastAsia="黑体"/>
        </w:rPr>
      </w:pPr>
      <w:r>
        <w:rPr>
          <w:rFonts w:ascii="Times New Roman" w:hAnsi="Times New Roman" w:eastAsia="黑体"/>
        </w:rPr>
        <w:t>第一部分</w:t>
      </w:r>
      <w:r>
        <w:rPr>
          <w:rFonts w:hint="eastAsia" w:ascii="Times New Roman" w:hAnsi="Times New Roman" w:eastAsia="黑体"/>
        </w:rPr>
        <w:t xml:space="preserve"> </w:t>
      </w:r>
      <w:r>
        <w:rPr>
          <w:rFonts w:ascii="Times New Roman" w:hAnsi="Times New Roman" w:eastAsia="黑体"/>
        </w:rPr>
        <w:t>武当山道教事务服务中心概况</w:t>
      </w:r>
    </w:p>
    <w:p>
      <w:pPr>
        <w:ind w:firstLine="608" w:firstLineChars="200"/>
        <w:rPr>
          <w:rFonts w:ascii="Times New Roman" w:hAnsi="Times New Roman" w:eastAsia="楷体_GB2312"/>
        </w:rPr>
      </w:pPr>
      <w:r>
        <w:rPr>
          <w:rFonts w:ascii="Times New Roman" w:hAnsi="Times New Roman" w:eastAsia="楷体_GB2312"/>
        </w:rPr>
        <w:t>一、主要职能</w:t>
      </w:r>
    </w:p>
    <w:p>
      <w:pPr>
        <w:ind w:firstLine="608" w:firstLineChars="200"/>
        <w:rPr>
          <w:rFonts w:ascii="Times New Roman" w:hAnsi="Times New Roman" w:eastAsia="楷体_GB2312"/>
        </w:rPr>
      </w:pPr>
      <w:r>
        <w:rPr>
          <w:rFonts w:ascii="Times New Roman" w:hAnsi="Times New Roman" w:eastAsia="楷体_GB2312"/>
        </w:rPr>
        <w:t>二、</w:t>
      </w:r>
      <w:r>
        <w:rPr>
          <w:rFonts w:hint="eastAsia" w:ascii="Times New Roman" w:hAnsi="Times New Roman" w:eastAsia="楷体_GB2312"/>
        </w:rPr>
        <w:t>机</w:t>
      </w:r>
      <w:r>
        <w:rPr>
          <w:rFonts w:ascii="Times New Roman" w:hAnsi="Times New Roman" w:eastAsia="楷体_GB2312"/>
        </w:rPr>
        <w:t>构</w:t>
      </w:r>
      <w:r>
        <w:rPr>
          <w:rFonts w:hint="eastAsia" w:ascii="Times New Roman" w:hAnsi="Times New Roman" w:eastAsia="楷体_GB2312"/>
        </w:rPr>
        <w:t>设置</w:t>
      </w:r>
    </w:p>
    <w:p>
      <w:pPr>
        <w:ind w:firstLine="608" w:firstLineChars="200"/>
        <w:rPr>
          <w:rFonts w:ascii="Times New Roman" w:hAnsi="Times New Roman" w:eastAsia="黑体"/>
        </w:rPr>
      </w:pPr>
      <w:r>
        <w:rPr>
          <w:rFonts w:ascii="Times New Roman" w:hAnsi="Times New Roman" w:eastAsia="黑体"/>
        </w:rPr>
        <w:t>第二部分</w:t>
      </w:r>
      <w:r>
        <w:rPr>
          <w:rFonts w:hint="eastAsia" w:ascii="Times New Roman" w:hAnsi="Times New Roman" w:eastAsia="黑体"/>
        </w:rPr>
        <w:t xml:space="preserve"> </w:t>
      </w:r>
      <w:r>
        <w:rPr>
          <w:rFonts w:ascii="Times New Roman" w:hAnsi="Times New Roman" w:eastAsia="黑体"/>
        </w:rPr>
        <w:t>武当山道教事务服务中心2021年度单位决算表</w:t>
      </w:r>
    </w:p>
    <w:p>
      <w:pPr>
        <w:ind w:firstLine="608" w:firstLineChars="200"/>
        <w:rPr>
          <w:rFonts w:ascii="Times New Roman" w:hAnsi="Times New Roman" w:eastAsia="楷体_GB2312"/>
        </w:rPr>
      </w:pPr>
      <w:r>
        <w:rPr>
          <w:rFonts w:ascii="Times New Roman" w:hAnsi="Times New Roman" w:eastAsia="楷体_GB2312"/>
        </w:rPr>
        <w:t>一、收入支出决算总表</w:t>
      </w:r>
    </w:p>
    <w:p>
      <w:pPr>
        <w:ind w:firstLine="608" w:firstLineChars="200"/>
        <w:rPr>
          <w:rFonts w:ascii="Times New Roman" w:hAnsi="Times New Roman" w:eastAsia="楷体_GB2312"/>
        </w:rPr>
      </w:pPr>
      <w:r>
        <w:rPr>
          <w:rFonts w:ascii="Times New Roman" w:hAnsi="Times New Roman" w:eastAsia="楷体_GB2312"/>
        </w:rPr>
        <w:t>二、收入决算表</w:t>
      </w:r>
    </w:p>
    <w:p>
      <w:pPr>
        <w:ind w:firstLine="608" w:firstLineChars="200"/>
        <w:rPr>
          <w:rFonts w:ascii="Times New Roman" w:hAnsi="Times New Roman" w:eastAsia="楷体_GB2312"/>
        </w:rPr>
      </w:pPr>
      <w:r>
        <w:rPr>
          <w:rFonts w:ascii="Times New Roman" w:hAnsi="Times New Roman" w:eastAsia="楷体_GB2312"/>
        </w:rPr>
        <w:t>三、支出决算表</w:t>
      </w:r>
    </w:p>
    <w:p>
      <w:pPr>
        <w:ind w:firstLine="608" w:firstLineChars="200"/>
        <w:rPr>
          <w:rFonts w:ascii="Times New Roman" w:hAnsi="Times New Roman" w:eastAsia="楷体_GB2312"/>
        </w:rPr>
      </w:pPr>
      <w:r>
        <w:rPr>
          <w:rFonts w:ascii="Times New Roman" w:hAnsi="Times New Roman" w:eastAsia="楷体_GB2312"/>
        </w:rPr>
        <w:t>四、财政拨款收入支出决算总表</w:t>
      </w:r>
    </w:p>
    <w:p>
      <w:pPr>
        <w:ind w:firstLine="608" w:firstLineChars="200"/>
        <w:rPr>
          <w:rFonts w:ascii="Times New Roman" w:hAnsi="Times New Roman" w:eastAsia="楷体_GB2312"/>
        </w:rPr>
      </w:pPr>
      <w:r>
        <w:rPr>
          <w:rFonts w:ascii="Times New Roman" w:hAnsi="Times New Roman" w:eastAsia="楷体_GB2312"/>
        </w:rPr>
        <w:t>五、一般公共预算财政拨款支出决算表</w:t>
      </w:r>
    </w:p>
    <w:p>
      <w:pPr>
        <w:ind w:firstLine="608" w:firstLineChars="200"/>
        <w:rPr>
          <w:rFonts w:ascii="Times New Roman" w:hAnsi="Times New Roman" w:eastAsia="楷体_GB2312"/>
        </w:rPr>
      </w:pPr>
      <w:r>
        <w:rPr>
          <w:rFonts w:ascii="Times New Roman" w:hAnsi="Times New Roman" w:eastAsia="楷体_GB2312"/>
        </w:rPr>
        <w:t>六、一般公共预算财政拨款基本支出决算</w:t>
      </w:r>
      <w:r>
        <w:rPr>
          <w:rFonts w:hint="eastAsia" w:ascii="Times New Roman" w:hAnsi="Times New Roman" w:eastAsia="楷体_GB2312"/>
        </w:rPr>
        <w:t>明细</w:t>
      </w:r>
      <w:r>
        <w:rPr>
          <w:rFonts w:ascii="Times New Roman" w:hAnsi="Times New Roman" w:eastAsia="楷体_GB2312"/>
        </w:rPr>
        <w:t>表</w:t>
      </w:r>
    </w:p>
    <w:p>
      <w:pPr>
        <w:ind w:firstLine="608" w:firstLineChars="200"/>
        <w:rPr>
          <w:rFonts w:ascii="Times New Roman" w:hAnsi="Times New Roman" w:eastAsia="楷体_GB2312"/>
        </w:rPr>
      </w:pPr>
      <w:r>
        <w:rPr>
          <w:rFonts w:ascii="Times New Roman" w:hAnsi="Times New Roman" w:eastAsia="楷体_GB2312"/>
        </w:rPr>
        <w:t>七、一般公共预算财政拨款“三公”经费支出决算表</w:t>
      </w:r>
    </w:p>
    <w:p>
      <w:pPr>
        <w:ind w:firstLine="608" w:firstLineChars="200"/>
        <w:rPr>
          <w:rFonts w:ascii="Times New Roman" w:hAnsi="Times New Roman" w:eastAsia="楷体_GB2312"/>
        </w:rPr>
      </w:pPr>
      <w:r>
        <w:rPr>
          <w:rFonts w:ascii="Times New Roman" w:hAnsi="Times New Roman" w:eastAsia="楷体_GB2312"/>
        </w:rPr>
        <w:t>八、政府性基金预算财政拨款收入支出决算表</w:t>
      </w:r>
    </w:p>
    <w:p>
      <w:pPr>
        <w:ind w:firstLine="608" w:firstLineChars="200"/>
        <w:rPr>
          <w:rFonts w:ascii="Times New Roman" w:hAnsi="Times New Roman" w:eastAsia="楷体_GB2312"/>
        </w:rPr>
      </w:pPr>
      <w:r>
        <w:rPr>
          <w:rFonts w:ascii="Times New Roman" w:hAnsi="Times New Roman" w:eastAsia="楷体_GB2312"/>
        </w:rPr>
        <w:t>九、国有资本经营预算财政拨款支出决算表</w:t>
      </w:r>
    </w:p>
    <w:p>
      <w:pPr>
        <w:ind w:firstLine="608" w:firstLineChars="200"/>
        <w:rPr>
          <w:rFonts w:ascii="Times New Roman" w:hAnsi="Times New Roman" w:eastAsia="黑体"/>
        </w:rPr>
      </w:pPr>
      <w:r>
        <w:rPr>
          <w:rFonts w:ascii="Times New Roman" w:hAnsi="Times New Roman" w:eastAsia="黑体"/>
        </w:rPr>
        <w:t>第三部分</w:t>
      </w:r>
      <w:r>
        <w:rPr>
          <w:rFonts w:hint="eastAsia" w:ascii="Times New Roman" w:hAnsi="Times New Roman" w:eastAsia="黑体"/>
        </w:rPr>
        <w:t xml:space="preserve"> </w:t>
      </w:r>
      <w:r>
        <w:rPr>
          <w:rFonts w:ascii="Times New Roman" w:hAnsi="Times New Roman" w:eastAsia="黑体"/>
        </w:rPr>
        <w:t>武当山道教事务服务中心单位决算情况说明</w:t>
      </w:r>
    </w:p>
    <w:p>
      <w:pPr>
        <w:ind w:firstLine="608" w:firstLineChars="200"/>
        <w:rPr>
          <w:rFonts w:ascii="Times New Roman" w:hAnsi="Times New Roman" w:eastAsia="黑体"/>
        </w:rPr>
      </w:pPr>
      <w:r>
        <w:rPr>
          <w:rFonts w:ascii="Times New Roman" w:hAnsi="Times New Roman" w:eastAsia="黑体"/>
        </w:rPr>
        <w:t>第四部分</w:t>
      </w:r>
      <w:r>
        <w:rPr>
          <w:rFonts w:hint="eastAsia" w:ascii="Times New Roman" w:hAnsi="Times New Roman" w:eastAsia="黑体"/>
        </w:rPr>
        <w:t xml:space="preserve"> </w:t>
      </w:r>
      <w:r>
        <w:rPr>
          <w:rFonts w:ascii="Times New Roman" w:hAnsi="Times New Roman" w:eastAsia="黑体"/>
        </w:rPr>
        <w:t>名词解释</w:t>
      </w:r>
    </w:p>
    <w:p>
      <w:pPr>
        <w:ind w:firstLine="608" w:firstLineChars="200"/>
        <w:rPr>
          <w:rFonts w:ascii="Times New Roman" w:hAnsi="Times New Roman"/>
        </w:rPr>
      </w:pPr>
    </w:p>
    <w:p>
      <w:pPr>
        <w:rPr>
          <w:rFonts w:ascii="Times New Roman" w:hAnsi="Times New Roman"/>
        </w:rPr>
      </w:pPr>
    </w:p>
    <w:p>
      <w:pPr>
        <w:spacing w:before="305" w:beforeLines="50" w:after="305" w:afterLines="50"/>
        <w:jc w:val="center"/>
        <w:rPr>
          <w:rFonts w:ascii="Times New Roman" w:hAnsi="Times New Roman" w:eastAsia="黑体"/>
        </w:rPr>
      </w:pPr>
      <w:r>
        <w:rPr>
          <w:rFonts w:ascii="Times New Roman" w:hAnsi="Times New Roman" w:eastAsia="黑体"/>
        </w:rPr>
        <w:t>第一部分</w:t>
      </w:r>
      <w:r>
        <w:rPr>
          <w:rFonts w:hint="eastAsia" w:ascii="Times New Roman" w:hAnsi="Times New Roman" w:eastAsia="黑体"/>
        </w:rPr>
        <w:t xml:space="preserve"> </w:t>
      </w:r>
      <w:r>
        <w:rPr>
          <w:rFonts w:ascii="Times New Roman" w:hAnsi="Times New Roman" w:eastAsia="黑体"/>
        </w:rPr>
        <w:t>武当山道教事务服务中心概况</w:t>
      </w:r>
    </w:p>
    <w:p>
      <w:pPr>
        <w:pStyle w:val="11"/>
        <w:numPr>
          <w:ilvl w:val="0"/>
          <w:numId w:val="1"/>
        </w:numPr>
        <w:ind w:firstLineChars="0"/>
        <w:rPr>
          <w:rFonts w:ascii="Times New Roman" w:hAnsi="Times New Roman" w:eastAsia="楷体_GB2312"/>
          <w:szCs w:val="32"/>
        </w:rPr>
      </w:pPr>
      <w:r>
        <w:rPr>
          <w:rFonts w:ascii="Times New Roman" w:hAnsi="Times New Roman" w:eastAsia="楷体_GB2312"/>
          <w:szCs w:val="32"/>
        </w:rPr>
        <w:t>主要职能</w:t>
      </w:r>
    </w:p>
    <w:p>
      <w:pPr>
        <w:snapToGrid w:val="0"/>
        <w:spacing w:line="560" w:lineRule="exact"/>
        <w:ind w:firstLine="608" w:firstLineChars="200"/>
        <w:rPr>
          <w:rFonts w:hint="eastAsia" w:ascii="Times New Roman" w:hAnsi="Times New Roman"/>
          <w:szCs w:val="32"/>
        </w:rPr>
      </w:pPr>
      <w:r>
        <w:rPr>
          <w:rFonts w:hint="eastAsia" w:ascii="Times New Roman" w:hAnsi="Times New Roman"/>
          <w:szCs w:val="32"/>
        </w:rPr>
        <w:t>1、承担武当山道教协会的日常联络服务工作。</w:t>
      </w:r>
    </w:p>
    <w:p>
      <w:pPr>
        <w:snapToGrid w:val="0"/>
        <w:spacing w:line="560" w:lineRule="exact"/>
        <w:ind w:firstLine="608" w:firstLineChars="200"/>
        <w:rPr>
          <w:rFonts w:ascii="Times New Roman" w:hAnsi="Times New Roman"/>
          <w:szCs w:val="32"/>
        </w:rPr>
      </w:pPr>
      <w:r>
        <w:rPr>
          <w:rFonts w:hint="eastAsia" w:ascii="Times New Roman" w:hAnsi="Times New Roman"/>
          <w:szCs w:val="32"/>
        </w:rPr>
        <w:t>2、协助做好武当山道教学院联络服务工作。</w:t>
      </w:r>
    </w:p>
    <w:p>
      <w:pPr>
        <w:ind w:firstLine="608" w:firstLineChars="200"/>
        <w:rPr>
          <w:rFonts w:ascii="Times New Roman" w:hAnsi="Times New Roman" w:eastAsia="楷体_GB2312"/>
          <w:szCs w:val="32"/>
        </w:rPr>
      </w:pPr>
      <w:r>
        <w:rPr>
          <w:rFonts w:ascii="Times New Roman" w:hAnsi="Times New Roman" w:eastAsia="楷体_GB2312"/>
          <w:szCs w:val="32"/>
        </w:rPr>
        <w:t>二、</w:t>
      </w:r>
      <w:r>
        <w:rPr>
          <w:rFonts w:hint="eastAsia" w:ascii="Times New Roman" w:hAnsi="Times New Roman" w:eastAsia="楷体_GB2312"/>
          <w:szCs w:val="32"/>
        </w:rPr>
        <w:t>机</w:t>
      </w:r>
      <w:r>
        <w:rPr>
          <w:rFonts w:ascii="Times New Roman" w:hAnsi="Times New Roman" w:eastAsia="楷体_GB2312"/>
          <w:szCs w:val="32"/>
        </w:rPr>
        <w:t>构</w:t>
      </w:r>
      <w:r>
        <w:rPr>
          <w:rFonts w:hint="eastAsia" w:ascii="Times New Roman" w:hAnsi="Times New Roman" w:eastAsia="楷体_GB2312"/>
          <w:szCs w:val="32"/>
        </w:rPr>
        <w:t>设置</w:t>
      </w:r>
    </w:p>
    <w:p>
      <w:pPr>
        <w:ind w:firstLine="608" w:firstLineChars="200"/>
        <w:jc w:val="left"/>
        <w:rPr>
          <w:rFonts w:ascii="Times New Roman" w:hAnsi="Times New Roman"/>
          <w:szCs w:val="32"/>
        </w:rPr>
      </w:pPr>
      <w:r>
        <w:rPr>
          <w:rFonts w:hint="eastAsia" w:ascii="Times New Roman" w:hAnsi="Times New Roman"/>
          <w:szCs w:val="32"/>
        </w:rPr>
        <w:t>武当山道教事务服务中心，为市委统战部（市民宗委）所属公益一类事业单位，核定事业编制5名，设主任1名（相当正科级），副主任1名。截止2021年末实有事业编制5人，退休人员0人；公务用车0辆。</w:t>
      </w:r>
    </w:p>
    <w:p>
      <w:pPr>
        <w:spacing w:before="305" w:beforeLines="50"/>
        <w:jc w:val="center"/>
        <w:rPr>
          <w:rFonts w:ascii="Times New Roman" w:hAnsi="Times New Roman" w:eastAsia="黑体"/>
          <w:szCs w:val="32"/>
        </w:rPr>
      </w:pPr>
    </w:p>
    <w:p>
      <w:pPr>
        <w:spacing w:before="305" w:beforeLines="50"/>
        <w:jc w:val="center"/>
        <w:rPr>
          <w:rFonts w:ascii="Times New Roman" w:hAnsi="Times New Roman" w:eastAsia="黑体"/>
        </w:rPr>
      </w:pPr>
      <w:r>
        <w:rPr>
          <w:rFonts w:ascii="Times New Roman" w:hAnsi="Times New Roman" w:eastAsia="黑体"/>
        </w:rPr>
        <w:t>第二部分</w:t>
      </w:r>
      <w:r>
        <w:rPr>
          <w:rFonts w:hint="eastAsia" w:ascii="Times New Roman" w:hAnsi="Times New Roman" w:eastAsia="黑体"/>
        </w:rPr>
        <w:t xml:space="preserve"> </w:t>
      </w:r>
      <w:r>
        <w:rPr>
          <w:rFonts w:ascii="Times New Roman" w:hAnsi="Times New Roman" w:eastAsia="黑体"/>
        </w:rPr>
        <w:t>武当山道教事务服务中心2021年度单位决算表</w:t>
      </w:r>
    </w:p>
    <w:p>
      <w:pPr>
        <w:spacing w:after="305" w:afterLines="50"/>
        <w:jc w:val="center"/>
        <w:rPr>
          <w:rFonts w:ascii="Times New Roman" w:hAnsi="Times New Roman" w:eastAsia="黑体"/>
        </w:rPr>
      </w:pPr>
      <w:r>
        <w:rPr>
          <w:rFonts w:ascii="Times New Roman" w:hAnsi="Times New Roman" w:eastAsia="黑体"/>
        </w:rPr>
        <w:t>（内容详见附件1）</w:t>
      </w:r>
    </w:p>
    <w:p>
      <w:pPr>
        <w:ind w:firstLine="608" w:firstLineChars="200"/>
        <w:rPr>
          <w:rFonts w:ascii="Times New Roman" w:hAnsi="Times New Roman" w:eastAsia="楷体_GB2312"/>
        </w:rPr>
      </w:pPr>
      <w:r>
        <w:rPr>
          <w:rFonts w:ascii="Times New Roman" w:hAnsi="Times New Roman" w:eastAsia="楷体_GB2312"/>
        </w:rPr>
        <w:t>一、收入支出决算总表</w:t>
      </w:r>
    </w:p>
    <w:p>
      <w:pPr>
        <w:ind w:firstLine="608" w:firstLineChars="200"/>
        <w:rPr>
          <w:rFonts w:ascii="Times New Roman" w:hAnsi="Times New Roman" w:eastAsia="楷体_GB2312"/>
        </w:rPr>
      </w:pPr>
      <w:r>
        <w:rPr>
          <w:rFonts w:ascii="Times New Roman" w:hAnsi="Times New Roman" w:eastAsia="楷体_GB2312"/>
        </w:rPr>
        <w:t>二、收入决算表</w:t>
      </w:r>
    </w:p>
    <w:p>
      <w:pPr>
        <w:ind w:firstLine="608" w:firstLineChars="200"/>
        <w:rPr>
          <w:rFonts w:ascii="Times New Roman" w:hAnsi="Times New Roman" w:eastAsia="楷体_GB2312"/>
        </w:rPr>
      </w:pPr>
      <w:r>
        <w:rPr>
          <w:rFonts w:ascii="Times New Roman" w:hAnsi="Times New Roman" w:eastAsia="楷体_GB2312"/>
        </w:rPr>
        <w:t>三、支出决算表</w:t>
      </w:r>
    </w:p>
    <w:p>
      <w:pPr>
        <w:ind w:firstLine="608" w:firstLineChars="200"/>
        <w:rPr>
          <w:rFonts w:ascii="Times New Roman" w:hAnsi="Times New Roman" w:eastAsia="楷体_GB2312"/>
        </w:rPr>
      </w:pPr>
      <w:r>
        <w:rPr>
          <w:rFonts w:ascii="Times New Roman" w:hAnsi="Times New Roman" w:eastAsia="楷体_GB2312"/>
        </w:rPr>
        <w:t>四、财政拨款收入支出决算总表</w:t>
      </w:r>
    </w:p>
    <w:p>
      <w:pPr>
        <w:ind w:firstLine="608" w:firstLineChars="200"/>
        <w:rPr>
          <w:rFonts w:ascii="Times New Roman" w:hAnsi="Times New Roman" w:eastAsia="楷体_GB2312"/>
        </w:rPr>
      </w:pPr>
      <w:r>
        <w:rPr>
          <w:rFonts w:ascii="Times New Roman" w:hAnsi="Times New Roman" w:eastAsia="楷体_GB2312"/>
        </w:rPr>
        <w:t>五、一般公共预算财政拨款支出决算表</w:t>
      </w:r>
    </w:p>
    <w:p>
      <w:pPr>
        <w:ind w:firstLine="608" w:firstLineChars="200"/>
        <w:rPr>
          <w:rFonts w:ascii="Times New Roman" w:hAnsi="Times New Roman" w:eastAsia="楷体_GB2312"/>
        </w:rPr>
      </w:pPr>
      <w:r>
        <w:rPr>
          <w:rFonts w:ascii="Times New Roman" w:hAnsi="Times New Roman" w:eastAsia="楷体_GB2312"/>
        </w:rPr>
        <w:t>六、一般公共预算财政拨款基本支出决算</w:t>
      </w:r>
      <w:r>
        <w:rPr>
          <w:rFonts w:hint="eastAsia" w:ascii="Times New Roman" w:hAnsi="Times New Roman" w:eastAsia="楷体_GB2312"/>
        </w:rPr>
        <w:t>明细</w:t>
      </w:r>
      <w:r>
        <w:rPr>
          <w:rFonts w:ascii="Times New Roman" w:hAnsi="Times New Roman" w:eastAsia="楷体_GB2312"/>
        </w:rPr>
        <w:t>表</w:t>
      </w:r>
    </w:p>
    <w:p>
      <w:pPr>
        <w:ind w:firstLine="608" w:firstLineChars="200"/>
        <w:rPr>
          <w:rFonts w:ascii="Times New Roman" w:hAnsi="Times New Roman" w:eastAsia="楷体_GB2312"/>
        </w:rPr>
      </w:pPr>
      <w:r>
        <w:rPr>
          <w:rFonts w:ascii="Times New Roman" w:hAnsi="Times New Roman" w:eastAsia="楷体_GB2312"/>
        </w:rPr>
        <w:t>七、一般公共预算财政拨款“三公”经费支出决算表</w:t>
      </w:r>
    </w:p>
    <w:p>
      <w:pPr>
        <w:ind w:firstLine="608" w:firstLineChars="200"/>
        <w:rPr>
          <w:rFonts w:ascii="Times New Roman" w:hAnsi="Times New Roman" w:eastAsia="楷体_GB2312"/>
        </w:rPr>
      </w:pPr>
      <w:r>
        <w:rPr>
          <w:rFonts w:ascii="Times New Roman" w:hAnsi="Times New Roman" w:eastAsia="楷体_GB2312"/>
        </w:rPr>
        <w:t>八、政府性基金预算财政拨款收入支出决算表</w:t>
      </w:r>
    </w:p>
    <w:p>
      <w:pPr>
        <w:ind w:firstLine="608" w:firstLineChars="200"/>
        <w:rPr>
          <w:rFonts w:ascii="Times New Roman" w:hAnsi="Times New Roman" w:eastAsia="楷体_GB2312"/>
        </w:rPr>
      </w:pPr>
      <w:r>
        <w:rPr>
          <w:rFonts w:ascii="Times New Roman" w:hAnsi="Times New Roman" w:eastAsia="楷体_GB2312"/>
        </w:rPr>
        <w:t>九、国有资本经营预算财政拨款支出决算表</w:t>
      </w:r>
    </w:p>
    <w:p>
      <w:pPr>
        <w:spacing w:before="305" w:beforeLines="50" w:after="305" w:afterLines="50"/>
        <w:jc w:val="center"/>
        <w:rPr>
          <w:rFonts w:ascii="Times New Roman" w:hAnsi="Times New Roman" w:eastAsia="黑体"/>
        </w:rPr>
      </w:pPr>
    </w:p>
    <w:p>
      <w:pPr>
        <w:spacing w:before="305" w:beforeLines="50" w:after="305" w:afterLines="50"/>
        <w:jc w:val="center"/>
        <w:rPr>
          <w:rFonts w:ascii="Times New Roman" w:hAnsi="Times New Roman" w:eastAsia="黑体"/>
        </w:rPr>
      </w:pPr>
      <w:r>
        <w:rPr>
          <w:rFonts w:ascii="Times New Roman" w:hAnsi="Times New Roman" w:eastAsia="黑体"/>
        </w:rPr>
        <w:t>第三部分</w:t>
      </w:r>
      <w:r>
        <w:rPr>
          <w:rFonts w:hint="eastAsia" w:ascii="Times New Roman" w:hAnsi="Times New Roman" w:eastAsia="黑体"/>
        </w:rPr>
        <w:t xml:space="preserve"> </w:t>
      </w:r>
      <w:r>
        <w:rPr>
          <w:rFonts w:ascii="Times New Roman" w:hAnsi="Times New Roman" w:eastAsia="黑体"/>
        </w:rPr>
        <w:t>武当山道教事务服务中心单位决算情况说明</w:t>
      </w:r>
    </w:p>
    <w:p>
      <w:pPr>
        <w:ind w:firstLine="608" w:firstLineChars="200"/>
        <w:rPr>
          <w:rFonts w:ascii="Times New Roman" w:hAnsi="Times New Roman" w:eastAsia="楷体_GB2312"/>
          <w:szCs w:val="32"/>
        </w:rPr>
      </w:pPr>
      <w:r>
        <w:rPr>
          <w:rFonts w:ascii="Times New Roman" w:hAnsi="Times New Roman" w:eastAsia="楷体_GB2312"/>
          <w:szCs w:val="32"/>
        </w:rPr>
        <w:t>一、2021年度收入支出决算总体情况说明</w:t>
      </w:r>
    </w:p>
    <w:p>
      <w:pPr>
        <w:ind w:firstLine="608" w:firstLineChars="200"/>
        <w:rPr>
          <w:rFonts w:ascii="Times New Roman" w:hAnsi="Times New Roman"/>
          <w:szCs w:val="32"/>
        </w:rPr>
      </w:pPr>
      <w:r>
        <w:rPr>
          <w:rFonts w:ascii="Times New Roman" w:hAnsi="Times New Roman"/>
          <w:szCs w:val="32"/>
        </w:rPr>
        <w:t>武当山道教事务服务中心2021年度收入总计63.23万元（其中：年初结转和结余0万元、本年财政拨款收入63.23万元），支出总计63.23万元（其中：本年支出63.23万元，年末结转和结余</w:t>
      </w:r>
      <w:r>
        <w:rPr>
          <w:rFonts w:hint="eastAsia" w:ascii="Times New Roman" w:hAnsi="Times New Roman"/>
          <w:szCs w:val="32"/>
        </w:rPr>
        <w:t>0</w:t>
      </w:r>
      <w:r>
        <w:rPr>
          <w:rFonts w:ascii="Times New Roman" w:hAnsi="Times New Roman"/>
          <w:szCs w:val="32"/>
        </w:rPr>
        <w:t>万元）。</w:t>
      </w:r>
    </w:p>
    <w:p>
      <w:pPr>
        <w:ind w:firstLine="608" w:firstLineChars="200"/>
        <w:rPr>
          <w:rFonts w:ascii="Times New Roman" w:hAnsi="Times New Roman" w:eastAsia="楷体_GB2312"/>
          <w:szCs w:val="32"/>
        </w:rPr>
      </w:pPr>
      <w:r>
        <w:rPr>
          <w:rFonts w:ascii="Times New Roman" w:hAnsi="Times New Roman" w:eastAsia="楷体_GB2312"/>
          <w:szCs w:val="32"/>
        </w:rPr>
        <w:t>二、2021年度收入决算情况说明</w:t>
      </w:r>
    </w:p>
    <w:p>
      <w:pPr>
        <w:ind w:firstLine="608" w:firstLineChars="200"/>
        <w:rPr>
          <w:rFonts w:ascii="Times New Roman" w:hAnsi="Times New Roman"/>
          <w:szCs w:val="32"/>
        </w:rPr>
      </w:pPr>
      <w:r>
        <w:rPr>
          <w:rFonts w:ascii="Times New Roman" w:hAnsi="Times New Roman"/>
          <w:szCs w:val="32"/>
        </w:rPr>
        <w:t>武当山道教事务服务中心2021年度收入合计63.23万元，其中：财政拨款收入63.23万元，占收入总额的100%；上级补助收入0万元，占收入总额的0%；事业收入0万元，占收入总额的0%；经营收入0万元，占收入总额的0%；</w:t>
      </w:r>
      <w:r>
        <w:rPr>
          <w:rFonts w:hint="eastAsia" w:ascii="Times New Roman" w:hAnsi="Times New Roman"/>
          <w:szCs w:val="32"/>
        </w:rPr>
        <w:t>附属单位上缴收入0万元，占收入总额的0%；</w:t>
      </w:r>
      <w:r>
        <w:rPr>
          <w:rFonts w:ascii="Times New Roman" w:hAnsi="Times New Roman"/>
          <w:szCs w:val="32"/>
        </w:rPr>
        <w:t>其他收入0万元，占收入总额的0%。</w:t>
      </w:r>
    </w:p>
    <w:p>
      <w:pPr>
        <w:ind w:firstLine="608" w:firstLineChars="200"/>
        <w:rPr>
          <w:rFonts w:ascii="Times New Roman" w:hAnsi="Times New Roman" w:eastAsia="楷体_GB2312"/>
          <w:szCs w:val="32"/>
        </w:rPr>
      </w:pPr>
      <w:r>
        <w:rPr>
          <w:rFonts w:ascii="Times New Roman" w:hAnsi="Times New Roman" w:eastAsia="楷体_GB2312"/>
          <w:szCs w:val="32"/>
        </w:rPr>
        <w:t>三、2021年度支出决算情况说明</w:t>
      </w:r>
    </w:p>
    <w:p>
      <w:pPr>
        <w:ind w:firstLine="608" w:firstLineChars="200"/>
        <w:rPr>
          <w:rFonts w:ascii="Times New Roman" w:hAnsi="Times New Roman"/>
          <w:szCs w:val="32"/>
        </w:rPr>
      </w:pPr>
      <w:r>
        <w:rPr>
          <w:rFonts w:ascii="Times New Roman" w:hAnsi="Times New Roman"/>
          <w:szCs w:val="32"/>
        </w:rPr>
        <w:t>武当山道教事务服务中心2021年度支出合计63.23万元，其中：基本支出39.23万元，占支出总额的62.04%（其中：人员支出34.23万元，占支出总额的54.14%，日常公用支出5万元，占支出总额的7.9%）；项目支出24万元，占支出总额的37.96%。</w:t>
      </w:r>
    </w:p>
    <w:p>
      <w:pPr>
        <w:ind w:firstLine="608" w:firstLineChars="200"/>
        <w:rPr>
          <w:rFonts w:ascii="Times New Roman" w:hAnsi="Times New Roman" w:eastAsia="楷体_GB2312"/>
          <w:szCs w:val="32"/>
        </w:rPr>
      </w:pPr>
      <w:r>
        <w:rPr>
          <w:rFonts w:ascii="Times New Roman" w:hAnsi="Times New Roman" w:eastAsia="楷体_GB2312"/>
          <w:szCs w:val="32"/>
        </w:rPr>
        <w:t>四、2021年度财政拨款收入支出决算总体情况说明</w:t>
      </w:r>
    </w:p>
    <w:p>
      <w:pPr>
        <w:ind w:firstLine="608" w:firstLineChars="200"/>
        <w:rPr>
          <w:rFonts w:ascii="Times New Roman" w:hAnsi="Times New Roman"/>
          <w:szCs w:val="32"/>
        </w:rPr>
      </w:pPr>
      <w:r>
        <w:rPr>
          <w:rFonts w:ascii="Times New Roman" w:hAnsi="Times New Roman"/>
          <w:szCs w:val="32"/>
        </w:rPr>
        <w:t>武当山道教事务服务中心2021年度财政拨款收入63.23万元，支出63.23万元。与20</w:t>
      </w:r>
      <w:r>
        <w:rPr>
          <w:rFonts w:hint="eastAsia" w:ascii="Times New Roman" w:hAnsi="Times New Roman"/>
          <w:szCs w:val="32"/>
        </w:rPr>
        <w:t>20</w:t>
      </w:r>
      <w:r>
        <w:rPr>
          <w:rFonts w:ascii="Times New Roman" w:hAnsi="Times New Roman"/>
          <w:szCs w:val="32"/>
        </w:rPr>
        <w:t>年</w:t>
      </w:r>
      <w:r>
        <w:rPr>
          <w:rFonts w:hint="eastAsia" w:ascii="Times New Roman" w:hAnsi="Times New Roman"/>
          <w:szCs w:val="32"/>
        </w:rPr>
        <w:t>度</w:t>
      </w:r>
      <w:r>
        <w:rPr>
          <w:rFonts w:ascii="Times New Roman" w:hAnsi="Times New Roman"/>
          <w:szCs w:val="32"/>
        </w:rPr>
        <w:t>相比，财政拨款收入总计增加63.23万元，增长0%；与2020年度相比，财政拨款支出总计增加</w:t>
      </w:r>
      <w:r>
        <w:rPr>
          <w:rFonts w:hint="eastAsia" w:ascii="Times New Roman" w:hAnsi="Times New Roman"/>
          <w:szCs w:val="32"/>
        </w:rPr>
        <w:t>63.23万元，增长0%</w:t>
      </w:r>
      <w:r>
        <w:rPr>
          <w:rFonts w:ascii="Times New Roman" w:hAnsi="Times New Roman"/>
          <w:szCs w:val="32"/>
        </w:rPr>
        <w:t>。本年收入支出比2020年度增加的主要原因是</w:t>
      </w:r>
      <w:r>
        <w:rPr>
          <w:rFonts w:hint="eastAsia" w:ascii="Times New Roman" w:hAnsi="Times New Roman"/>
          <w:szCs w:val="32"/>
        </w:rPr>
        <w:t>：本单位是2</w:t>
      </w:r>
      <w:r>
        <w:rPr>
          <w:rFonts w:ascii="Times New Roman" w:hAnsi="Times New Roman"/>
          <w:szCs w:val="32"/>
        </w:rPr>
        <w:t>021</w:t>
      </w:r>
      <w:r>
        <w:rPr>
          <w:rFonts w:hint="eastAsia" w:ascii="Times New Roman" w:hAnsi="Times New Roman"/>
          <w:szCs w:val="32"/>
        </w:rPr>
        <w:t>年新设成立的事业单位，无2</w:t>
      </w:r>
      <w:r>
        <w:rPr>
          <w:rFonts w:ascii="Times New Roman" w:hAnsi="Times New Roman"/>
          <w:szCs w:val="32"/>
        </w:rPr>
        <w:t>020</w:t>
      </w:r>
      <w:r>
        <w:rPr>
          <w:rFonts w:hint="eastAsia" w:ascii="Times New Roman" w:hAnsi="Times New Roman"/>
          <w:szCs w:val="32"/>
        </w:rPr>
        <w:t>年数据。</w:t>
      </w:r>
    </w:p>
    <w:p>
      <w:pPr>
        <w:ind w:firstLine="608" w:firstLineChars="200"/>
        <w:rPr>
          <w:rFonts w:ascii="Times New Roman" w:hAnsi="Times New Roman" w:eastAsia="楷体_GB2312"/>
          <w:szCs w:val="32"/>
        </w:rPr>
      </w:pPr>
      <w:r>
        <w:rPr>
          <w:rFonts w:ascii="Times New Roman" w:hAnsi="Times New Roman" w:eastAsia="楷体_GB2312"/>
          <w:szCs w:val="32"/>
        </w:rPr>
        <w:t>五、2021年度一般公共预算财政拨款支出决算情况说明</w:t>
      </w:r>
    </w:p>
    <w:p>
      <w:pPr>
        <w:ind w:firstLine="608" w:firstLineChars="200"/>
        <w:rPr>
          <w:rFonts w:ascii="Times New Roman" w:hAnsi="Times New Roman"/>
          <w:szCs w:val="32"/>
        </w:rPr>
      </w:pPr>
      <w:r>
        <w:rPr>
          <w:rFonts w:ascii="Times New Roman" w:hAnsi="Times New Roman"/>
          <w:szCs w:val="32"/>
        </w:rPr>
        <w:t>（一）财政拨款支出决算总体情况</w:t>
      </w:r>
    </w:p>
    <w:p>
      <w:pPr>
        <w:ind w:firstLine="608" w:firstLineChars="200"/>
        <w:rPr>
          <w:rFonts w:ascii="Times New Roman" w:hAnsi="Times New Roman"/>
          <w:szCs w:val="32"/>
        </w:rPr>
      </w:pPr>
      <w:r>
        <w:rPr>
          <w:rFonts w:ascii="Times New Roman" w:hAnsi="Times New Roman"/>
          <w:szCs w:val="32"/>
        </w:rPr>
        <w:t>武当山道教事务服务中心2021年度一般公共预算财政拨款支出63.23万元，占本年财政拨款支出合计的</w:t>
      </w:r>
      <w:r>
        <w:rPr>
          <w:rFonts w:hint="eastAsia" w:ascii="Times New Roman" w:hAnsi="Times New Roman"/>
          <w:szCs w:val="32"/>
        </w:rPr>
        <w:t>100</w:t>
      </w:r>
      <w:r>
        <w:rPr>
          <w:rFonts w:ascii="Times New Roman" w:hAnsi="Times New Roman"/>
          <w:szCs w:val="32"/>
        </w:rPr>
        <w:t>%；2021年度政府性基金预算财政拨款支出</w:t>
      </w:r>
      <w:r>
        <w:rPr>
          <w:rFonts w:hint="eastAsia" w:ascii="Times New Roman" w:hAnsi="Times New Roman"/>
          <w:szCs w:val="32"/>
        </w:rPr>
        <w:t>0</w:t>
      </w:r>
      <w:r>
        <w:rPr>
          <w:rFonts w:ascii="Times New Roman" w:hAnsi="Times New Roman"/>
          <w:szCs w:val="32"/>
        </w:rPr>
        <w:t>万元，占本年财政拨款支出合计的0%</w:t>
      </w:r>
      <w:r>
        <w:rPr>
          <w:rFonts w:hint="eastAsia" w:ascii="Times New Roman" w:hAnsi="Times New Roman"/>
          <w:szCs w:val="32"/>
        </w:rPr>
        <w:t>；</w:t>
      </w:r>
      <w:r>
        <w:rPr>
          <w:rFonts w:ascii="Times New Roman" w:hAnsi="Times New Roman"/>
          <w:szCs w:val="32"/>
        </w:rPr>
        <w:t>2021年度</w:t>
      </w:r>
      <w:r>
        <w:rPr>
          <w:rFonts w:hint="eastAsia" w:ascii="Times New Roman" w:hAnsi="Times New Roman"/>
          <w:szCs w:val="32"/>
        </w:rPr>
        <w:t>国有资本经营</w:t>
      </w:r>
      <w:r>
        <w:rPr>
          <w:rFonts w:ascii="Times New Roman" w:hAnsi="Times New Roman"/>
          <w:szCs w:val="32"/>
        </w:rPr>
        <w:t>预算财政拨款支出</w:t>
      </w:r>
      <w:r>
        <w:rPr>
          <w:rFonts w:hint="eastAsia" w:ascii="Times New Roman" w:hAnsi="Times New Roman"/>
          <w:szCs w:val="32"/>
        </w:rPr>
        <w:t>0</w:t>
      </w:r>
      <w:r>
        <w:rPr>
          <w:rFonts w:ascii="Times New Roman" w:hAnsi="Times New Roman"/>
          <w:szCs w:val="32"/>
        </w:rPr>
        <w:t>万元，占本年财政拨款支出合计的0%。</w:t>
      </w:r>
    </w:p>
    <w:p>
      <w:pPr>
        <w:ind w:firstLine="608" w:firstLineChars="200"/>
        <w:rPr>
          <w:rFonts w:ascii="Times New Roman" w:hAnsi="Times New Roman"/>
          <w:szCs w:val="32"/>
        </w:rPr>
      </w:pPr>
      <w:r>
        <w:rPr>
          <w:rFonts w:ascii="Times New Roman" w:hAnsi="Times New Roman"/>
          <w:szCs w:val="32"/>
        </w:rPr>
        <w:t>（二）财政拨款支出决算结构情况（按单位具体情况填报）</w:t>
      </w:r>
    </w:p>
    <w:p>
      <w:pPr>
        <w:ind w:firstLine="608" w:firstLineChars="200"/>
        <w:rPr>
          <w:rFonts w:ascii="Times New Roman" w:hAnsi="Times New Roman"/>
          <w:szCs w:val="32"/>
        </w:rPr>
      </w:pPr>
      <w:r>
        <w:rPr>
          <w:rFonts w:ascii="Times New Roman" w:hAnsi="Times New Roman"/>
          <w:szCs w:val="32"/>
        </w:rPr>
        <w:t>2021年度一般公共预算财政拨款支出63.23万元，主要用于以下方面：</w:t>
      </w:r>
      <w:r>
        <w:rPr>
          <w:rFonts w:hint="eastAsia" w:ascii="Times New Roman" w:hAnsi="Times New Roman"/>
          <w:szCs w:val="32"/>
        </w:rPr>
        <w:t>一般公共服务</w:t>
      </w:r>
      <w:r>
        <w:rPr>
          <w:rFonts w:ascii="Times New Roman" w:hAnsi="Times New Roman"/>
          <w:szCs w:val="32"/>
        </w:rPr>
        <w:t>支出63.23万元，占总支出的100%；卫生健康支出0万元，占总支出的0%；住房保障支出0万元，占总支出的0%。</w:t>
      </w:r>
    </w:p>
    <w:p>
      <w:pPr>
        <w:ind w:firstLine="608" w:firstLineChars="200"/>
        <w:rPr>
          <w:rFonts w:ascii="Times New Roman" w:hAnsi="Times New Roman"/>
          <w:szCs w:val="32"/>
        </w:rPr>
      </w:pPr>
      <w:r>
        <w:rPr>
          <w:rFonts w:ascii="Times New Roman" w:hAnsi="Times New Roman"/>
          <w:szCs w:val="32"/>
        </w:rPr>
        <w:t>（三）财政拨款支出决算具体情况</w:t>
      </w:r>
    </w:p>
    <w:p>
      <w:pPr>
        <w:ind w:firstLine="608" w:firstLineChars="200"/>
        <w:rPr>
          <w:rFonts w:ascii="Times New Roman" w:hAnsi="Times New Roman"/>
          <w:szCs w:val="32"/>
        </w:rPr>
      </w:pPr>
      <w:r>
        <w:rPr>
          <w:rFonts w:ascii="Times New Roman" w:hAnsi="Times New Roman"/>
          <w:szCs w:val="32"/>
        </w:rPr>
        <w:t>武当山道教事务服务中心2021年度财政拨款支出年初预算为0万元，支出决算为63.23万元，完成年初预算的0%。其中：</w:t>
      </w:r>
      <w:r>
        <w:rPr>
          <w:rFonts w:hint="eastAsia" w:ascii="Times New Roman" w:hAnsi="Times New Roman"/>
          <w:szCs w:val="32"/>
        </w:rPr>
        <w:t>一般公共服务支出年初预算为</w:t>
      </w:r>
      <w:r>
        <w:rPr>
          <w:rFonts w:ascii="Times New Roman" w:hAnsi="Times New Roman"/>
          <w:szCs w:val="32"/>
        </w:rPr>
        <w:t>0</w:t>
      </w:r>
      <w:r>
        <w:rPr>
          <w:rFonts w:hint="eastAsia" w:ascii="Times New Roman" w:hAnsi="Times New Roman"/>
          <w:szCs w:val="32"/>
        </w:rPr>
        <w:t>万元，支出决算为</w:t>
      </w:r>
      <w:r>
        <w:rPr>
          <w:rFonts w:ascii="Times New Roman" w:hAnsi="Times New Roman"/>
          <w:szCs w:val="32"/>
        </w:rPr>
        <w:t>63.23</w:t>
      </w:r>
      <w:r>
        <w:rPr>
          <w:rFonts w:hint="eastAsia" w:ascii="Times New Roman" w:hAnsi="Times New Roman"/>
          <w:szCs w:val="32"/>
        </w:rPr>
        <w:t>万元，</w:t>
      </w:r>
      <w:r>
        <w:rPr>
          <w:rFonts w:ascii="Times New Roman" w:hAnsi="Times New Roman"/>
          <w:szCs w:val="32"/>
        </w:rPr>
        <w:t>决算大于预算主要是</w:t>
      </w:r>
      <w:r>
        <w:rPr>
          <w:rFonts w:hint="eastAsia" w:ascii="Times New Roman" w:hAnsi="Times New Roman"/>
          <w:szCs w:val="32"/>
        </w:rPr>
        <w:t>：本单位是2021年新设成立的事业单位，无年初预算数据</w:t>
      </w:r>
      <w:r>
        <w:rPr>
          <w:rFonts w:ascii="Times New Roman" w:hAnsi="Times New Roman"/>
          <w:szCs w:val="32"/>
        </w:rPr>
        <w:t>。</w:t>
      </w:r>
    </w:p>
    <w:p>
      <w:pPr>
        <w:ind w:firstLine="608" w:firstLineChars="200"/>
        <w:rPr>
          <w:rFonts w:ascii="Times New Roman" w:hAnsi="Times New Roman" w:eastAsia="楷体_GB2312"/>
          <w:szCs w:val="32"/>
        </w:rPr>
      </w:pPr>
      <w:r>
        <w:rPr>
          <w:rFonts w:ascii="Times New Roman" w:hAnsi="Times New Roman" w:eastAsia="楷体_GB2312"/>
          <w:szCs w:val="32"/>
        </w:rPr>
        <w:t>六、2021年度公共预算财政拨款“三公“经费、预算绩效管理及其他重要事项的情况说明</w:t>
      </w:r>
    </w:p>
    <w:p>
      <w:pPr>
        <w:ind w:firstLine="608" w:firstLineChars="200"/>
        <w:rPr>
          <w:rFonts w:ascii="Times New Roman" w:hAnsi="Times New Roman"/>
          <w:szCs w:val="32"/>
        </w:rPr>
      </w:pPr>
      <w:r>
        <w:rPr>
          <w:rFonts w:ascii="Times New Roman" w:hAnsi="Times New Roman"/>
          <w:szCs w:val="32"/>
        </w:rPr>
        <w:t>（一）“三公经费”财政拨款支出决算情况说明</w:t>
      </w:r>
    </w:p>
    <w:p>
      <w:pPr>
        <w:ind w:firstLine="608" w:firstLineChars="200"/>
        <w:rPr>
          <w:rFonts w:ascii="Times New Roman" w:hAnsi="Times New Roman"/>
          <w:szCs w:val="32"/>
        </w:rPr>
      </w:pPr>
      <w:r>
        <w:rPr>
          <w:rFonts w:ascii="Times New Roman" w:hAnsi="Times New Roman"/>
          <w:szCs w:val="32"/>
        </w:rPr>
        <w:t>武当山道教事务服务中心2021年度</w:t>
      </w:r>
      <w:bookmarkStart w:id="0" w:name="_Hlk114512083"/>
      <w:r>
        <w:rPr>
          <w:rFonts w:ascii="Times New Roman" w:hAnsi="Times New Roman"/>
          <w:szCs w:val="32"/>
        </w:rPr>
        <w:t>“三公经费”</w:t>
      </w:r>
      <w:bookmarkEnd w:id="0"/>
      <w:r>
        <w:rPr>
          <w:rFonts w:ascii="Times New Roman" w:hAnsi="Times New Roman"/>
          <w:szCs w:val="32"/>
        </w:rPr>
        <w:t>实际支出数为0万元，与年初预算数0万元相比减少0万元，与2020年度实际支出数0万元相比</w:t>
      </w:r>
      <w:r>
        <w:rPr>
          <w:rFonts w:hint="eastAsia" w:ascii="Times New Roman" w:hAnsi="Times New Roman"/>
          <w:szCs w:val="32"/>
        </w:rPr>
        <w:t>无增减变化</w:t>
      </w:r>
      <w:r>
        <w:rPr>
          <w:rFonts w:ascii="Times New Roman" w:hAnsi="Times New Roman"/>
          <w:szCs w:val="32"/>
        </w:rPr>
        <w:t>。</w:t>
      </w:r>
      <w:r>
        <w:rPr>
          <w:rFonts w:hint="eastAsia" w:ascii="Times New Roman" w:hAnsi="Times New Roman"/>
          <w:szCs w:val="32"/>
        </w:rPr>
        <w:t>主要是本年未发生“三公经费”支出。</w:t>
      </w:r>
      <w:r>
        <w:rPr>
          <w:rFonts w:ascii="Times New Roman" w:hAnsi="Times New Roman"/>
          <w:szCs w:val="32"/>
        </w:rPr>
        <w:t>具体原因如下：</w:t>
      </w:r>
    </w:p>
    <w:p>
      <w:pPr>
        <w:numPr>
          <w:ilvl w:val="0"/>
          <w:numId w:val="2"/>
        </w:numPr>
        <w:ind w:firstLine="568"/>
        <w:rPr>
          <w:rFonts w:ascii="Times New Roman" w:hAnsi="Times New Roman"/>
          <w:szCs w:val="32"/>
        </w:rPr>
      </w:pPr>
      <w:r>
        <w:rPr>
          <w:rFonts w:ascii="Times New Roman" w:hAnsi="Times New Roman"/>
          <w:szCs w:val="32"/>
        </w:rPr>
        <w:t>因公出国（境）费0万元。与年初预算数0万元相比无增减变化，与2020年度支出数0万元相比无增减变化。</w:t>
      </w:r>
    </w:p>
    <w:p>
      <w:pPr>
        <w:numPr>
          <w:ilvl w:val="0"/>
          <w:numId w:val="2"/>
        </w:numPr>
        <w:ind w:firstLine="568"/>
        <w:rPr>
          <w:rFonts w:ascii="Times New Roman" w:hAnsi="Times New Roman"/>
          <w:szCs w:val="32"/>
        </w:rPr>
      </w:pPr>
      <w:r>
        <w:rPr>
          <w:rFonts w:ascii="Times New Roman" w:hAnsi="Times New Roman"/>
          <w:szCs w:val="32"/>
        </w:rPr>
        <w:t>公务车购置及运行维护费0万元。其中：公务用车购置支出为0万元；公务用车运行维护支出0万元。较年初预算</w:t>
      </w:r>
      <w:r>
        <w:rPr>
          <w:rFonts w:hint="eastAsia" w:ascii="Times New Roman" w:hAnsi="Times New Roman"/>
          <w:szCs w:val="32"/>
        </w:rPr>
        <w:t>0</w:t>
      </w:r>
      <w:r>
        <w:rPr>
          <w:rFonts w:ascii="Times New Roman" w:hAnsi="Times New Roman"/>
          <w:szCs w:val="32"/>
        </w:rPr>
        <w:t>万元相比无增减变化，较2020年度支出0万元相比无增减变化，</w:t>
      </w:r>
      <w:r>
        <w:rPr>
          <w:rFonts w:hint="eastAsia" w:ascii="Times New Roman" w:hAnsi="Times New Roman"/>
          <w:szCs w:val="32"/>
        </w:rPr>
        <w:t>本单位未发生公务车购置及运行维护费支出</w:t>
      </w:r>
      <w:r>
        <w:rPr>
          <w:rFonts w:ascii="Times New Roman" w:hAnsi="Times New Roman"/>
          <w:szCs w:val="32"/>
        </w:rPr>
        <w:t>。截止2021年末，</w:t>
      </w:r>
      <w:r>
        <w:rPr>
          <w:rFonts w:hint="eastAsia" w:ascii="Times New Roman" w:hAnsi="Times New Roman"/>
          <w:szCs w:val="32"/>
        </w:rPr>
        <w:t>本</w:t>
      </w:r>
      <w:r>
        <w:rPr>
          <w:rFonts w:ascii="Times New Roman" w:hAnsi="Times New Roman"/>
          <w:szCs w:val="32"/>
        </w:rPr>
        <w:t>单位公务用车保有量为0辆。</w:t>
      </w:r>
    </w:p>
    <w:p>
      <w:pPr>
        <w:ind w:firstLine="608" w:firstLineChars="200"/>
        <w:rPr>
          <w:rFonts w:ascii="Times New Roman" w:hAnsi="Times New Roman"/>
          <w:szCs w:val="32"/>
        </w:rPr>
      </w:pPr>
      <w:r>
        <w:rPr>
          <w:rFonts w:ascii="Times New Roman" w:hAnsi="Times New Roman"/>
          <w:szCs w:val="32"/>
        </w:rPr>
        <w:t>3、公务接待费0万元。主要用于公务接待费支出。2021年度</w:t>
      </w:r>
      <w:r>
        <w:rPr>
          <w:rFonts w:hint="eastAsia" w:ascii="Times New Roman" w:hAnsi="Times New Roman"/>
          <w:szCs w:val="32"/>
        </w:rPr>
        <w:t>国内</w:t>
      </w:r>
      <w:r>
        <w:rPr>
          <w:rFonts w:ascii="Times New Roman" w:hAnsi="Times New Roman"/>
          <w:szCs w:val="32"/>
        </w:rPr>
        <w:t>公务接待共0批次0人次。较年初预算数0万元相比无增减变化，较2020年度支出0万元相比无增减变化，</w:t>
      </w:r>
      <w:r>
        <w:rPr>
          <w:rFonts w:hint="eastAsia" w:ascii="Times New Roman" w:hAnsi="Times New Roman"/>
          <w:szCs w:val="32"/>
        </w:rPr>
        <w:t>主要原因：本单位未发生公务接待费。</w:t>
      </w:r>
    </w:p>
    <w:p>
      <w:pPr>
        <w:ind w:firstLine="608" w:firstLineChars="200"/>
        <w:rPr>
          <w:rFonts w:ascii="Times New Roman" w:hAnsi="Times New Roman"/>
          <w:szCs w:val="32"/>
        </w:rPr>
      </w:pPr>
      <w:r>
        <w:rPr>
          <w:rFonts w:ascii="Times New Roman" w:hAnsi="Times New Roman"/>
          <w:szCs w:val="32"/>
        </w:rPr>
        <w:t>（二）机关运行经费支出情况</w:t>
      </w:r>
    </w:p>
    <w:p>
      <w:pPr>
        <w:ind w:firstLine="608" w:firstLineChars="200"/>
        <w:rPr>
          <w:rFonts w:ascii="Times New Roman" w:hAnsi="Times New Roman"/>
          <w:szCs w:val="32"/>
        </w:rPr>
      </w:pPr>
      <w:r>
        <w:rPr>
          <w:rFonts w:ascii="Times New Roman" w:hAnsi="Times New Roman"/>
          <w:szCs w:val="32"/>
        </w:rPr>
        <w:t>本单位2021年度机关运行经费支出5万元，其中：办公费1.46万元、</w:t>
      </w:r>
      <w:r>
        <w:rPr>
          <w:rFonts w:hint="eastAsia" w:ascii="Times New Roman" w:hAnsi="Times New Roman"/>
          <w:szCs w:val="32"/>
        </w:rPr>
        <w:t>印刷费</w:t>
      </w:r>
      <w:r>
        <w:rPr>
          <w:rFonts w:ascii="Times New Roman" w:hAnsi="Times New Roman"/>
          <w:szCs w:val="32"/>
        </w:rPr>
        <w:t>0.01</w:t>
      </w:r>
      <w:r>
        <w:rPr>
          <w:rFonts w:hint="eastAsia" w:ascii="Times New Roman" w:hAnsi="Times New Roman"/>
          <w:szCs w:val="32"/>
        </w:rPr>
        <w:t>万元、</w:t>
      </w:r>
      <w:r>
        <w:rPr>
          <w:rFonts w:ascii="Times New Roman" w:hAnsi="Times New Roman"/>
          <w:szCs w:val="32"/>
        </w:rPr>
        <w:t>邮电费0.5万元、差旅费1.66万元、</w:t>
      </w:r>
      <w:r>
        <w:rPr>
          <w:rFonts w:hint="eastAsia" w:ascii="Times New Roman" w:hAnsi="Times New Roman"/>
          <w:szCs w:val="32"/>
        </w:rPr>
        <w:t>专用材料费</w:t>
      </w:r>
      <w:r>
        <w:rPr>
          <w:rFonts w:ascii="Times New Roman" w:hAnsi="Times New Roman"/>
          <w:szCs w:val="32"/>
        </w:rPr>
        <w:t>0.22</w:t>
      </w:r>
      <w:r>
        <w:rPr>
          <w:rFonts w:hint="eastAsia" w:ascii="Times New Roman" w:hAnsi="Times New Roman"/>
          <w:szCs w:val="32"/>
        </w:rPr>
        <w:t>万元、</w:t>
      </w:r>
      <w:r>
        <w:rPr>
          <w:rFonts w:ascii="Times New Roman" w:hAnsi="Times New Roman"/>
          <w:szCs w:val="32"/>
        </w:rPr>
        <w:t>委托业务费</w:t>
      </w:r>
      <w:r>
        <w:rPr>
          <w:rFonts w:hint="eastAsia" w:ascii="Times New Roman" w:hAnsi="Times New Roman"/>
          <w:szCs w:val="32"/>
        </w:rPr>
        <w:t>0</w:t>
      </w:r>
      <w:r>
        <w:rPr>
          <w:rFonts w:ascii="Times New Roman" w:hAnsi="Times New Roman"/>
          <w:szCs w:val="32"/>
        </w:rPr>
        <w:t>.5万元、其他商品和服务支出0.08万元、办公设备购置0.57万元</w:t>
      </w:r>
      <w:r>
        <w:rPr>
          <w:rFonts w:hint="eastAsia" w:ascii="Times New Roman" w:hAnsi="Times New Roman"/>
          <w:szCs w:val="32"/>
        </w:rPr>
        <w:t>。比年初预算数</w:t>
      </w:r>
      <w:r>
        <w:rPr>
          <w:rFonts w:ascii="Times New Roman" w:hAnsi="Times New Roman"/>
          <w:szCs w:val="32"/>
        </w:rPr>
        <w:t>0</w:t>
      </w:r>
      <w:r>
        <w:rPr>
          <w:rFonts w:hint="eastAsia" w:ascii="Times New Roman" w:hAnsi="Times New Roman"/>
          <w:szCs w:val="32"/>
        </w:rPr>
        <w:t>万元增加5万元，增长0%。主要原因是：本单位是2021年新设成立的事业单位，无年初预算数据。</w:t>
      </w:r>
      <w:r>
        <w:rPr>
          <w:rFonts w:ascii="Times New Roman" w:hAnsi="Times New Roman"/>
          <w:szCs w:val="32"/>
        </w:rPr>
        <w:t>比2020年度</w:t>
      </w:r>
      <w:r>
        <w:rPr>
          <w:rFonts w:hint="eastAsia" w:ascii="Times New Roman" w:hAnsi="Times New Roman"/>
          <w:szCs w:val="32"/>
        </w:rPr>
        <w:t>机关运行经费支出</w:t>
      </w:r>
      <w:r>
        <w:rPr>
          <w:rFonts w:ascii="Times New Roman" w:hAnsi="Times New Roman"/>
          <w:szCs w:val="32"/>
        </w:rPr>
        <w:t>0万元</w:t>
      </w:r>
      <w:r>
        <w:rPr>
          <w:rFonts w:hint="eastAsia" w:ascii="Times New Roman" w:hAnsi="Times New Roman"/>
          <w:szCs w:val="32"/>
        </w:rPr>
        <w:t>增加</w:t>
      </w:r>
      <w:r>
        <w:rPr>
          <w:rFonts w:ascii="Times New Roman" w:hAnsi="Times New Roman"/>
          <w:szCs w:val="32"/>
        </w:rPr>
        <w:t>5万元，</w:t>
      </w:r>
      <w:r>
        <w:rPr>
          <w:rFonts w:hint="eastAsia" w:ascii="Times New Roman" w:hAnsi="Times New Roman"/>
          <w:szCs w:val="32"/>
        </w:rPr>
        <w:t>增长</w:t>
      </w:r>
      <w:r>
        <w:rPr>
          <w:rFonts w:ascii="Times New Roman" w:hAnsi="Times New Roman"/>
          <w:szCs w:val="32"/>
        </w:rPr>
        <w:t>0%。</w:t>
      </w:r>
      <w:r>
        <w:rPr>
          <w:rFonts w:hint="eastAsia" w:ascii="Times New Roman" w:hAnsi="Times New Roman"/>
          <w:szCs w:val="32"/>
        </w:rPr>
        <w:t>增长的</w:t>
      </w:r>
      <w:r>
        <w:rPr>
          <w:rFonts w:ascii="Times New Roman" w:hAnsi="Times New Roman"/>
          <w:szCs w:val="32"/>
        </w:rPr>
        <w:t>主要原因是：</w:t>
      </w:r>
      <w:r>
        <w:rPr>
          <w:rFonts w:hint="eastAsia" w:ascii="Times New Roman" w:hAnsi="Times New Roman"/>
          <w:szCs w:val="32"/>
        </w:rPr>
        <w:t>本单位是2021年新设成立的事业单位，无2</w:t>
      </w:r>
      <w:r>
        <w:rPr>
          <w:rFonts w:ascii="Times New Roman" w:hAnsi="Times New Roman"/>
          <w:szCs w:val="32"/>
        </w:rPr>
        <w:t>020</w:t>
      </w:r>
      <w:r>
        <w:rPr>
          <w:rFonts w:hint="eastAsia" w:ascii="Times New Roman" w:hAnsi="Times New Roman"/>
          <w:szCs w:val="32"/>
        </w:rPr>
        <w:t>年数据。</w:t>
      </w:r>
    </w:p>
    <w:p>
      <w:pPr>
        <w:ind w:firstLine="608" w:firstLineChars="200"/>
        <w:rPr>
          <w:rFonts w:ascii="Times New Roman" w:hAnsi="Times New Roman"/>
          <w:szCs w:val="32"/>
        </w:rPr>
      </w:pPr>
      <w:r>
        <w:rPr>
          <w:rFonts w:ascii="Times New Roman" w:hAnsi="Times New Roman"/>
          <w:szCs w:val="32"/>
        </w:rPr>
        <w:t>（三）政府采购支出情况</w:t>
      </w:r>
    </w:p>
    <w:p>
      <w:pPr>
        <w:ind w:firstLine="608" w:firstLineChars="200"/>
        <w:rPr>
          <w:rFonts w:ascii="Times New Roman" w:hAnsi="Times New Roman"/>
          <w:szCs w:val="32"/>
        </w:rPr>
      </w:pPr>
      <w:r>
        <w:rPr>
          <w:rFonts w:ascii="Times New Roman" w:hAnsi="Times New Roman"/>
          <w:szCs w:val="32"/>
        </w:rPr>
        <w:t>本单位2021年度政府采购支出总额14.01万元，其中：政府采购货物支出14.01万元、政府采购工程支出0万元、政府采购服务支出0万元。授予中小企业合同金额14.01万元，占政府采购支出总额的 100%，其中：授予小微企业合同金额14.01万元，占政府采购支出总额的100%。</w:t>
      </w:r>
    </w:p>
    <w:p>
      <w:pPr>
        <w:ind w:firstLine="608" w:firstLineChars="200"/>
        <w:rPr>
          <w:rFonts w:ascii="Times New Roman" w:hAnsi="Times New Roman"/>
          <w:szCs w:val="32"/>
        </w:rPr>
      </w:pPr>
      <w:r>
        <w:rPr>
          <w:rFonts w:ascii="Times New Roman" w:hAnsi="Times New Roman"/>
          <w:szCs w:val="32"/>
        </w:rPr>
        <w:t>（四）国有资产占用情况</w:t>
      </w:r>
    </w:p>
    <w:p>
      <w:pPr>
        <w:ind w:firstLine="608" w:firstLineChars="200"/>
        <w:rPr>
          <w:rFonts w:ascii="Times New Roman" w:hAnsi="Times New Roman"/>
          <w:szCs w:val="32"/>
        </w:rPr>
      </w:pPr>
      <w:r>
        <w:rPr>
          <w:rFonts w:ascii="Times New Roman" w:hAnsi="Times New Roman"/>
          <w:szCs w:val="32"/>
        </w:rPr>
        <w:t>截至2021年度12月31日，本单位</w:t>
      </w:r>
      <w:r>
        <w:rPr>
          <w:rFonts w:hint="eastAsia" w:ascii="Times New Roman" w:hAnsi="Times New Roman"/>
          <w:szCs w:val="32"/>
        </w:rPr>
        <w:t>共</w:t>
      </w:r>
      <w:r>
        <w:rPr>
          <w:rFonts w:ascii="Times New Roman" w:hAnsi="Times New Roman"/>
          <w:szCs w:val="32"/>
        </w:rPr>
        <w:t>有车</w:t>
      </w:r>
      <w:r>
        <w:rPr>
          <w:rFonts w:hint="eastAsia" w:ascii="Times New Roman" w:hAnsi="Times New Roman"/>
          <w:szCs w:val="32"/>
        </w:rPr>
        <w:t>辆</w:t>
      </w:r>
      <w:r>
        <w:rPr>
          <w:rFonts w:ascii="Times New Roman" w:hAnsi="Times New Roman"/>
          <w:szCs w:val="32"/>
        </w:rPr>
        <w:t>0辆，其中：</w:t>
      </w:r>
      <w:r>
        <w:rPr>
          <w:rFonts w:hint="eastAsia" w:ascii="Times New Roman" w:hAnsi="Times New Roman"/>
          <w:szCs w:val="32"/>
        </w:rPr>
        <w:t>副省级及以上领</w:t>
      </w:r>
      <w:r>
        <w:rPr>
          <w:rFonts w:ascii="Times New Roman" w:hAnsi="Times New Roman"/>
          <w:szCs w:val="32"/>
        </w:rPr>
        <w:t>导干部用车0辆、</w:t>
      </w:r>
      <w:r>
        <w:rPr>
          <w:rFonts w:hint="eastAsia" w:ascii="Times New Roman" w:hAnsi="Times New Roman"/>
          <w:szCs w:val="32"/>
        </w:rPr>
        <w:t>主要领</w:t>
      </w:r>
      <w:r>
        <w:rPr>
          <w:rFonts w:ascii="Times New Roman" w:hAnsi="Times New Roman"/>
          <w:szCs w:val="32"/>
        </w:rPr>
        <w:t>导干部用车0辆、</w:t>
      </w:r>
      <w:r>
        <w:rPr>
          <w:rFonts w:hint="eastAsia" w:ascii="Times New Roman" w:hAnsi="Times New Roman"/>
          <w:szCs w:val="32"/>
        </w:rPr>
        <w:t>机要通信用车0辆、应急保障用车</w:t>
      </w:r>
      <w:r>
        <w:rPr>
          <w:rFonts w:ascii="Times New Roman" w:hAnsi="Times New Roman"/>
          <w:szCs w:val="32"/>
        </w:rPr>
        <w:t>0辆、执法执勤用车0辆、特种专业技术用车0辆、</w:t>
      </w:r>
      <w:r>
        <w:rPr>
          <w:rFonts w:hint="eastAsia" w:ascii="Times New Roman" w:hAnsi="Times New Roman"/>
          <w:szCs w:val="32"/>
        </w:rPr>
        <w:t>离退休干部用车</w:t>
      </w:r>
      <w:r>
        <w:rPr>
          <w:rFonts w:ascii="Times New Roman" w:hAnsi="Times New Roman"/>
          <w:szCs w:val="32"/>
        </w:rPr>
        <w:t>0</w:t>
      </w:r>
      <w:r>
        <w:rPr>
          <w:rFonts w:hint="eastAsia" w:ascii="Times New Roman" w:hAnsi="Times New Roman"/>
          <w:szCs w:val="32"/>
        </w:rPr>
        <w:t>辆、</w:t>
      </w:r>
      <w:r>
        <w:rPr>
          <w:rFonts w:ascii="Times New Roman" w:hAnsi="Times New Roman"/>
          <w:szCs w:val="32"/>
        </w:rPr>
        <w:t>其他用车0辆；单位价值50万元以上通用设备0台（套），单</w:t>
      </w:r>
      <w:r>
        <w:rPr>
          <w:rFonts w:hint="eastAsia" w:ascii="Times New Roman" w:hAnsi="Times New Roman"/>
          <w:szCs w:val="32"/>
        </w:rPr>
        <w:t>位</w:t>
      </w:r>
      <w:r>
        <w:rPr>
          <w:rFonts w:ascii="Times New Roman" w:hAnsi="Times New Roman"/>
          <w:szCs w:val="32"/>
        </w:rPr>
        <w:t>价</w:t>
      </w:r>
      <w:r>
        <w:rPr>
          <w:rFonts w:hint="eastAsia" w:ascii="Times New Roman" w:hAnsi="Times New Roman"/>
          <w:szCs w:val="32"/>
        </w:rPr>
        <w:t>值</w:t>
      </w:r>
      <w:r>
        <w:rPr>
          <w:rFonts w:ascii="Times New Roman" w:hAnsi="Times New Roman"/>
          <w:szCs w:val="32"/>
        </w:rPr>
        <w:t>100万元以上专用设备0台（套）。</w:t>
      </w:r>
    </w:p>
    <w:p>
      <w:pPr>
        <w:ind w:firstLine="608" w:firstLineChars="200"/>
        <w:rPr>
          <w:rFonts w:ascii="Times New Roman" w:hAnsi="Times New Roman"/>
          <w:szCs w:val="32"/>
        </w:rPr>
      </w:pPr>
      <w:r>
        <w:rPr>
          <w:rFonts w:ascii="Times New Roman" w:hAnsi="Times New Roman"/>
          <w:szCs w:val="32"/>
        </w:rPr>
        <w:t>（五）预算绩效管理工作开展情况</w:t>
      </w:r>
    </w:p>
    <w:p>
      <w:pPr>
        <w:ind w:firstLine="608" w:firstLineChars="200"/>
        <w:rPr>
          <w:rFonts w:ascii="Times New Roman" w:hAnsi="Times New Roman"/>
          <w:szCs w:val="32"/>
        </w:rPr>
      </w:pPr>
      <w:r>
        <w:rPr>
          <w:rFonts w:ascii="Times New Roman" w:hAnsi="Times New Roman"/>
          <w:szCs w:val="32"/>
        </w:rPr>
        <w:t>1、预算绩效管理工作开展情况</w:t>
      </w:r>
    </w:p>
    <w:p>
      <w:pPr>
        <w:ind w:firstLine="608" w:firstLineChars="200"/>
        <w:rPr>
          <w:rFonts w:ascii="Times New Roman" w:hAnsi="Times New Roman"/>
          <w:szCs w:val="32"/>
        </w:rPr>
      </w:pPr>
      <w:r>
        <w:rPr>
          <w:rFonts w:ascii="Times New Roman" w:hAnsi="Times New Roman"/>
          <w:szCs w:val="32"/>
        </w:rPr>
        <w:t>根据预算绩效管理要求，</w:t>
      </w:r>
      <w:r>
        <w:rPr>
          <w:rFonts w:hint="eastAsia" w:ascii="Times New Roman" w:hAnsi="Times New Roman"/>
          <w:szCs w:val="32"/>
        </w:rPr>
        <w:t>本</w:t>
      </w:r>
      <w:r>
        <w:rPr>
          <w:rFonts w:ascii="Times New Roman" w:hAnsi="Times New Roman"/>
          <w:szCs w:val="32"/>
        </w:rPr>
        <w:t>单位</w:t>
      </w:r>
      <w:r>
        <w:rPr>
          <w:rFonts w:hint="eastAsia" w:ascii="Times New Roman" w:hAnsi="Times New Roman"/>
          <w:szCs w:val="32"/>
        </w:rPr>
        <w:t>组织</w:t>
      </w:r>
      <w:r>
        <w:rPr>
          <w:rFonts w:ascii="Times New Roman" w:hAnsi="Times New Roman"/>
          <w:szCs w:val="32"/>
        </w:rPr>
        <w:t>对2021年度一般公共预算项目支出全面开展绩效自评，共涉及项目1个，资金24万元，占一般公共预算项目支出总额的100％。从评价情况来看，较好地完成了2021年度主要工作任务和绩效目标。</w:t>
      </w:r>
      <w:r>
        <w:rPr>
          <w:rFonts w:hint="eastAsia" w:ascii="Times New Roman" w:hAnsi="Times New Roman"/>
          <w:szCs w:val="32"/>
        </w:rPr>
        <w:t>项目立项规范、合理，资金到位及时、监控有效，工作及财务管理制度健全、执行有效、项目质量可控，实际支出没有超预算，达到了预定的目标。</w:t>
      </w:r>
    </w:p>
    <w:p>
      <w:pPr>
        <w:ind w:firstLine="608" w:firstLineChars="200"/>
        <w:rPr>
          <w:rFonts w:ascii="Times New Roman" w:hAnsi="Times New Roman"/>
          <w:szCs w:val="32"/>
        </w:rPr>
      </w:pPr>
      <w:r>
        <w:rPr>
          <w:rFonts w:hint="eastAsia" w:ascii="Times New Roman" w:hAnsi="Times New Roman"/>
          <w:szCs w:val="32"/>
        </w:rPr>
        <w:t>整体支出绩效评价，由市委统战部以部门进行开展</w:t>
      </w:r>
      <w:r>
        <w:rPr>
          <w:rFonts w:ascii="Times New Roman" w:hAnsi="Times New Roman"/>
          <w:szCs w:val="32"/>
        </w:rPr>
        <w:t>。</w:t>
      </w:r>
    </w:p>
    <w:p>
      <w:pPr>
        <w:ind w:firstLine="608" w:firstLineChars="200"/>
        <w:rPr>
          <w:rFonts w:ascii="Times New Roman" w:hAnsi="Times New Roman"/>
          <w:szCs w:val="32"/>
        </w:rPr>
      </w:pPr>
      <w:r>
        <w:rPr>
          <w:rFonts w:ascii="Times New Roman" w:hAnsi="Times New Roman"/>
          <w:szCs w:val="32"/>
        </w:rPr>
        <w:t>2、单位决算中项目绩效自评结果（涉密项目除外）</w:t>
      </w:r>
    </w:p>
    <w:p>
      <w:pPr>
        <w:ind w:firstLine="608" w:firstLineChars="200"/>
        <w:rPr>
          <w:rFonts w:ascii="Times New Roman" w:hAnsi="Times New Roman"/>
          <w:szCs w:val="32"/>
        </w:rPr>
      </w:pPr>
      <w:r>
        <w:rPr>
          <w:rFonts w:hint="eastAsia" w:ascii="Times New Roman" w:hAnsi="Times New Roman"/>
          <w:szCs w:val="32"/>
        </w:rPr>
        <w:t>本</w:t>
      </w:r>
      <w:r>
        <w:rPr>
          <w:rFonts w:ascii="Times New Roman" w:hAnsi="Times New Roman"/>
          <w:szCs w:val="32"/>
        </w:rPr>
        <w:t>单位今年在单位决算中反映所有项目绩效自评结果（涉密项目除外）。</w:t>
      </w:r>
    </w:p>
    <w:p>
      <w:pPr>
        <w:ind w:firstLine="608" w:firstLineChars="200"/>
        <w:rPr>
          <w:rFonts w:ascii="Times New Roman" w:hAnsi="Times New Roman"/>
          <w:szCs w:val="32"/>
        </w:rPr>
      </w:pPr>
      <w:r>
        <w:rPr>
          <w:rFonts w:hint="eastAsia" w:ascii="Times New Roman" w:hAnsi="Times New Roman"/>
          <w:szCs w:val="32"/>
        </w:rPr>
        <w:t>道教服务工作专项经费</w:t>
      </w:r>
      <w:r>
        <w:rPr>
          <w:rFonts w:ascii="Times New Roman" w:hAnsi="Times New Roman"/>
          <w:szCs w:val="32"/>
        </w:rPr>
        <w:t>项目绩效自评综述：项目全年预算数为</w:t>
      </w:r>
      <w:r>
        <w:rPr>
          <w:rFonts w:hint="eastAsia" w:ascii="Times New Roman" w:hAnsi="Times New Roman"/>
          <w:szCs w:val="32"/>
        </w:rPr>
        <w:t>24</w:t>
      </w:r>
      <w:r>
        <w:rPr>
          <w:rFonts w:ascii="Times New Roman" w:hAnsi="Times New Roman"/>
          <w:szCs w:val="32"/>
        </w:rPr>
        <w:t>万元，执行数为</w:t>
      </w:r>
      <w:r>
        <w:rPr>
          <w:rFonts w:hint="eastAsia" w:ascii="Times New Roman" w:hAnsi="Times New Roman"/>
          <w:szCs w:val="32"/>
        </w:rPr>
        <w:t>24</w:t>
      </w:r>
      <w:r>
        <w:rPr>
          <w:rFonts w:ascii="Times New Roman" w:hAnsi="Times New Roman"/>
          <w:szCs w:val="32"/>
        </w:rPr>
        <w:t>万元，完成预算100％。主要产出和效益：一是</w:t>
      </w:r>
      <w:r>
        <w:rPr>
          <w:rFonts w:hint="eastAsia" w:ascii="Times New Roman" w:hAnsi="Times New Roman"/>
          <w:szCs w:val="32"/>
        </w:rPr>
        <w:t>开展教职人员全覆盖式谈心谈话3轮</w:t>
      </w:r>
      <w:r>
        <w:rPr>
          <w:rFonts w:ascii="Times New Roman" w:hAnsi="Times New Roman"/>
          <w:szCs w:val="32"/>
        </w:rPr>
        <w:t>；二是</w:t>
      </w:r>
      <w:r>
        <w:rPr>
          <w:rFonts w:hint="eastAsia" w:ascii="Times New Roman" w:hAnsi="Times New Roman"/>
          <w:szCs w:val="32"/>
        </w:rPr>
        <w:t>赴北京汇报武当山宗教相关工作1次</w:t>
      </w:r>
      <w:r>
        <w:rPr>
          <w:rFonts w:ascii="Times New Roman" w:hAnsi="Times New Roman"/>
          <w:szCs w:val="32"/>
        </w:rPr>
        <w:t>；三是</w:t>
      </w:r>
      <w:r>
        <w:rPr>
          <w:rFonts w:hint="eastAsia" w:ascii="Times New Roman" w:hAnsi="Times New Roman"/>
          <w:szCs w:val="32"/>
        </w:rPr>
        <w:t>赴湖北省委统战部（</w:t>
      </w:r>
      <w:r>
        <w:rPr>
          <w:rFonts w:hint="eastAsia" w:ascii="Times New Roman" w:hAnsi="Times New Roman"/>
          <w:szCs w:val="32"/>
          <w:lang w:val="en-US" w:eastAsia="zh-CN"/>
        </w:rPr>
        <w:t>省</w:t>
      </w:r>
      <w:r>
        <w:rPr>
          <w:rFonts w:hint="eastAsia" w:ascii="Times New Roman" w:hAnsi="Times New Roman"/>
          <w:szCs w:val="32"/>
        </w:rPr>
        <w:t>民宗委）学习宗教事务服务工作1</w:t>
      </w:r>
      <w:r>
        <w:rPr>
          <w:rFonts w:hint="eastAsia" w:ascii="Times New Roman" w:hAnsi="Times New Roman"/>
          <w:szCs w:val="32"/>
          <w:lang w:val="en-US" w:eastAsia="zh-CN"/>
        </w:rPr>
        <w:t>次</w:t>
      </w:r>
      <w:r>
        <w:rPr>
          <w:rFonts w:ascii="Times New Roman" w:hAnsi="Times New Roman"/>
          <w:szCs w:val="32"/>
        </w:rPr>
        <w:t>；四是</w:t>
      </w:r>
      <w:r>
        <w:rPr>
          <w:rFonts w:hint="eastAsia" w:ascii="Times New Roman" w:hAnsi="Times New Roman"/>
          <w:szCs w:val="32"/>
        </w:rPr>
        <w:t>赴其他宗教场所、庙观学习1次</w:t>
      </w:r>
      <w:r>
        <w:rPr>
          <w:rFonts w:ascii="Times New Roman" w:hAnsi="Times New Roman"/>
          <w:szCs w:val="32"/>
        </w:rPr>
        <w:t>；五是</w:t>
      </w:r>
      <w:r>
        <w:rPr>
          <w:rFonts w:hint="eastAsia" w:ascii="Times New Roman" w:hAnsi="Times New Roman"/>
          <w:szCs w:val="32"/>
        </w:rPr>
        <w:t>建设党与宗教界人士交流学习的园地窗口1个</w:t>
      </w:r>
      <w:r>
        <w:rPr>
          <w:rFonts w:ascii="Times New Roman" w:hAnsi="Times New Roman"/>
          <w:szCs w:val="32"/>
        </w:rPr>
        <w:t>；</w:t>
      </w:r>
      <w:r>
        <w:rPr>
          <w:rFonts w:hint="eastAsia" w:ascii="Times New Roman" w:hAnsi="Times New Roman"/>
          <w:szCs w:val="32"/>
        </w:rPr>
        <w:t>六是协助做好武当山道教协会换届选举工作，开展全程专项服务达20余次，实现武当山道教坚持中国化方向，武当山道场法制化规范化管理</w:t>
      </w:r>
      <w:bookmarkStart w:id="1" w:name="_GoBack"/>
      <w:bookmarkEnd w:id="1"/>
      <w:r>
        <w:rPr>
          <w:rFonts w:hint="eastAsia" w:ascii="Times New Roman" w:hAnsi="Times New Roman"/>
          <w:szCs w:val="32"/>
        </w:rPr>
        <w:t>。</w:t>
      </w:r>
      <w:r>
        <w:rPr>
          <w:rFonts w:ascii="Times New Roman" w:hAnsi="Times New Roman"/>
          <w:szCs w:val="32"/>
          <w:highlight w:val="yellow"/>
        </w:rPr>
        <w:t>发现的问题及原因：</w:t>
      </w:r>
      <w:r>
        <w:rPr>
          <w:rFonts w:hint="eastAsia" w:ascii="Times New Roman" w:hAnsi="Times New Roman"/>
          <w:szCs w:val="32"/>
          <w:highlight w:val="yellow"/>
        </w:rPr>
        <w:t>部分项目指标完成情况未达标</w:t>
      </w:r>
      <w:r>
        <w:rPr>
          <w:rFonts w:ascii="Times New Roman" w:hAnsi="Times New Roman"/>
          <w:szCs w:val="32"/>
          <w:highlight w:val="yellow"/>
        </w:rPr>
        <w:t>。下一步改进措施：</w:t>
      </w:r>
      <w:r>
        <w:rPr>
          <w:rFonts w:hint="eastAsia" w:ascii="Times New Roman" w:hAnsi="Times New Roman"/>
          <w:szCs w:val="32"/>
          <w:highlight w:val="yellow"/>
        </w:rPr>
        <w:t>根据上级主管部门市委统战部安排，此项慰问工作由市民宗局于2022年2月11日带领完成；以后，严格按照年初拟定项目在本年度完成。</w:t>
      </w:r>
    </w:p>
    <w:p>
      <w:pPr>
        <w:ind w:firstLine="608" w:firstLineChars="200"/>
        <w:rPr>
          <w:rFonts w:ascii="Times New Roman" w:hAnsi="Times New Roman"/>
          <w:szCs w:val="32"/>
        </w:rPr>
      </w:pPr>
      <w:r>
        <w:rPr>
          <w:rFonts w:ascii="Times New Roman" w:hAnsi="Times New Roman"/>
          <w:szCs w:val="32"/>
        </w:rPr>
        <w:t>附件：2021年度</w:t>
      </w:r>
      <w:r>
        <w:rPr>
          <w:rFonts w:hint="eastAsia" w:ascii="Times New Roman" w:hAnsi="Times New Roman"/>
          <w:szCs w:val="32"/>
        </w:rPr>
        <w:t>道教服务工作专项经费</w:t>
      </w:r>
      <w:r>
        <w:rPr>
          <w:rFonts w:ascii="Times New Roman" w:hAnsi="Times New Roman"/>
          <w:szCs w:val="32"/>
        </w:rPr>
        <w:t>项目绩效自评表</w:t>
      </w:r>
    </w:p>
    <w:p>
      <w:pPr>
        <w:ind w:firstLine="608" w:firstLineChars="200"/>
        <w:rPr>
          <w:rFonts w:ascii="Times New Roman" w:hAnsi="Times New Roman"/>
          <w:szCs w:val="32"/>
        </w:rPr>
      </w:pPr>
      <w:r>
        <w:rPr>
          <w:rFonts w:ascii="Times New Roman" w:hAnsi="Times New Roman"/>
          <w:szCs w:val="32"/>
        </w:rPr>
        <w:t>3、绩效评价结果应用情况</w:t>
      </w:r>
    </w:p>
    <w:p>
      <w:pPr>
        <w:ind w:firstLine="608" w:firstLineChars="200"/>
        <w:rPr>
          <w:rFonts w:ascii="Times New Roman" w:hAnsi="Times New Roman"/>
          <w:szCs w:val="32"/>
        </w:rPr>
      </w:pPr>
      <w:r>
        <w:rPr>
          <w:rFonts w:ascii="Times New Roman" w:hAnsi="Times New Roman"/>
          <w:szCs w:val="32"/>
        </w:rPr>
        <w:t>（1）单位绩效评价结果应用情况</w:t>
      </w:r>
    </w:p>
    <w:p>
      <w:pPr>
        <w:ind w:firstLine="608" w:firstLineChars="200"/>
        <w:rPr>
          <w:rFonts w:ascii="Times New Roman" w:hAnsi="Times New Roman"/>
          <w:szCs w:val="32"/>
        </w:rPr>
      </w:pPr>
      <w:r>
        <w:rPr>
          <w:rFonts w:ascii="Times New Roman" w:hAnsi="Times New Roman"/>
          <w:szCs w:val="32"/>
        </w:rPr>
        <w:t>在结果应用方面，及时把上年度绩效评价结果反馈给对口业务办公室，促进预算管理，并把绩效评价结果作为本年度预算调整和预算编制的重要依据，加强预算执行分析，进一步优化资源配置，提高资金使用效益。在结果公开方面，认真贯彻预算绩效管理的要求，根据政府信息公开要求开展绩效评价结果公开工作，接受公众监督。</w:t>
      </w:r>
    </w:p>
    <w:p>
      <w:pPr>
        <w:ind w:firstLine="608" w:firstLineChars="200"/>
        <w:rPr>
          <w:rFonts w:ascii="Times New Roman" w:hAnsi="Times New Roman"/>
          <w:szCs w:val="32"/>
        </w:rPr>
      </w:pPr>
      <w:r>
        <w:rPr>
          <w:rFonts w:ascii="Times New Roman" w:hAnsi="Times New Roman"/>
          <w:szCs w:val="32"/>
        </w:rPr>
        <w:t>（2）单位绩效评价结果拟应用情况</w:t>
      </w:r>
    </w:p>
    <w:p>
      <w:pPr>
        <w:ind w:firstLine="608" w:firstLineChars="200"/>
        <w:rPr>
          <w:rFonts w:ascii="Times New Roman" w:hAnsi="Times New Roman"/>
          <w:szCs w:val="32"/>
        </w:rPr>
      </w:pPr>
      <w:r>
        <w:rPr>
          <w:rFonts w:ascii="Times New Roman" w:hAnsi="Times New Roman"/>
          <w:szCs w:val="32"/>
        </w:rPr>
        <w:t>在结果拟应用方面，</w:t>
      </w:r>
      <w:r>
        <w:rPr>
          <w:rFonts w:hint="eastAsia" w:ascii="Times New Roman" w:hAnsi="Times New Roman"/>
          <w:szCs w:val="32"/>
        </w:rPr>
        <w:t>本</w:t>
      </w:r>
      <w:r>
        <w:rPr>
          <w:rFonts w:ascii="Times New Roman" w:hAnsi="Times New Roman"/>
          <w:szCs w:val="32"/>
        </w:rPr>
        <w:t>单位将把绩效评价结果作为下年度预算编制的重要依据，进一步加强预算编制管理，夯实预算执行基础，提高资金使用效益。督促各业务科室不断提升财政资金管理水平，严格执行预算法，强化预算执行的严肃性，确保财政资金使用绩效。</w:t>
      </w:r>
    </w:p>
    <w:p>
      <w:pPr>
        <w:ind w:firstLine="608" w:firstLineChars="200"/>
        <w:rPr>
          <w:rFonts w:ascii="Times New Roman" w:hAnsi="Times New Roman" w:eastAsia="楷体_GB2312"/>
          <w:szCs w:val="32"/>
        </w:rPr>
      </w:pPr>
      <w:r>
        <w:rPr>
          <w:rFonts w:ascii="Times New Roman" w:hAnsi="Times New Roman" w:eastAsia="楷体_GB2312"/>
          <w:szCs w:val="32"/>
        </w:rPr>
        <w:t>七、</w:t>
      </w:r>
      <w:r>
        <w:rPr>
          <w:rFonts w:ascii="Times New Roman" w:hAnsi="Times New Roman"/>
          <w:szCs w:val="32"/>
        </w:rPr>
        <w:t>2021年度</w:t>
      </w:r>
      <w:r>
        <w:rPr>
          <w:rFonts w:ascii="Times New Roman" w:hAnsi="Times New Roman" w:eastAsia="楷体_GB2312"/>
          <w:szCs w:val="32"/>
        </w:rPr>
        <w:t>政府性基金预算收支情况说明</w:t>
      </w:r>
    </w:p>
    <w:p>
      <w:pPr>
        <w:ind w:firstLine="608" w:firstLineChars="200"/>
        <w:rPr>
          <w:rFonts w:ascii="Times New Roman" w:hAnsi="Times New Roman"/>
          <w:szCs w:val="32"/>
        </w:rPr>
      </w:pPr>
      <w:r>
        <w:rPr>
          <w:rFonts w:hint="eastAsia" w:ascii="Times New Roman" w:hAnsi="Times New Roman"/>
          <w:szCs w:val="32"/>
        </w:rPr>
        <w:t>本单位无政府性基金预算收支。</w:t>
      </w:r>
    </w:p>
    <w:p>
      <w:pPr>
        <w:ind w:firstLine="608" w:firstLineChars="200"/>
        <w:rPr>
          <w:rFonts w:ascii="Times New Roman" w:hAnsi="Times New Roman" w:eastAsia="楷体_GB2312"/>
          <w:szCs w:val="32"/>
        </w:rPr>
      </w:pPr>
      <w:r>
        <w:rPr>
          <w:rFonts w:ascii="Times New Roman" w:hAnsi="Times New Roman" w:eastAsia="楷体_GB2312"/>
          <w:szCs w:val="32"/>
        </w:rPr>
        <w:t>八、</w:t>
      </w:r>
      <w:r>
        <w:rPr>
          <w:rFonts w:ascii="Times New Roman" w:hAnsi="Times New Roman"/>
          <w:szCs w:val="32"/>
        </w:rPr>
        <w:t>2021年度</w:t>
      </w:r>
      <w:r>
        <w:rPr>
          <w:rFonts w:ascii="Times New Roman" w:hAnsi="Times New Roman" w:eastAsia="楷体_GB2312"/>
          <w:szCs w:val="32"/>
        </w:rPr>
        <w:t>国有资本经营预算收支情况说明</w:t>
      </w:r>
    </w:p>
    <w:p>
      <w:pPr>
        <w:ind w:firstLine="608" w:firstLineChars="200"/>
        <w:rPr>
          <w:rFonts w:ascii="Times New Roman" w:hAnsi="Times New Roman"/>
          <w:szCs w:val="32"/>
        </w:rPr>
      </w:pPr>
      <w:r>
        <w:rPr>
          <w:rFonts w:ascii="Times New Roman" w:hAnsi="Times New Roman"/>
          <w:szCs w:val="32"/>
        </w:rPr>
        <w:t>本单位无国有资本经营预算收支。</w:t>
      </w:r>
    </w:p>
    <w:p>
      <w:pPr>
        <w:spacing w:before="305" w:beforeLines="50" w:after="305" w:afterLines="50"/>
        <w:jc w:val="center"/>
        <w:rPr>
          <w:rFonts w:ascii="Times New Roman" w:hAnsi="Times New Roman" w:eastAsia="黑体"/>
        </w:rPr>
      </w:pPr>
    </w:p>
    <w:p>
      <w:pPr>
        <w:spacing w:before="305" w:beforeLines="50" w:after="305" w:afterLines="50"/>
        <w:jc w:val="center"/>
        <w:rPr>
          <w:rFonts w:ascii="Times New Roman" w:hAnsi="Times New Roman" w:eastAsia="黑体"/>
        </w:rPr>
      </w:pPr>
      <w:r>
        <w:rPr>
          <w:rFonts w:ascii="Times New Roman" w:hAnsi="Times New Roman" w:eastAsia="黑体"/>
        </w:rPr>
        <w:t>第四部分</w:t>
      </w:r>
      <w:r>
        <w:rPr>
          <w:rFonts w:hint="eastAsia" w:ascii="Times New Roman" w:hAnsi="Times New Roman" w:eastAsia="黑体"/>
        </w:rPr>
        <w:t xml:space="preserve"> </w:t>
      </w:r>
      <w:r>
        <w:rPr>
          <w:rFonts w:ascii="Times New Roman" w:hAnsi="Times New Roman" w:eastAsia="黑体"/>
        </w:rPr>
        <w:t>名词解释</w:t>
      </w:r>
    </w:p>
    <w:p>
      <w:pPr>
        <w:ind w:firstLine="608" w:firstLineChars="200"/>
        <w:rPr>
          <w:rFonts w:ascii="Times New Roman" w:hAnsi="Times New Roman" w:eastAsia="楷体_GB2312"/>
        </w:rPr>
      </w:pPr>
      <w:r>
        <w:rPr>
          <w:rFonts w:ascii="Times New Roman" w:hAnsi="Times New Roman" w:eastAsia="楷体_GB2312"/>
        </w:rPr>
        <w:t>一、财政拨款收入：</w:t>
      </w:r>
      <w:r>
        <w:rPr>
          <w:rFonts w:ascii="Times New Roman" w:hAnsi="Times New Roman"/>
        </w:rPr>
        <w:t>指市级财政当年拨付的资金。</w:t>
      </w:r>
    </w:p>
    <w:p>
      <w:pPr>
        <w:ind w:firstLine="608" w:firstLineChars="200"/>
        <w:rPr>
          <w:rFonts w:ascii="Times New Roman" w:hAnsi="Times New Roman"/>
        </w:rPr>
      </w:pPr>
      <w:r>
        <w:rPr>
          <w:rFonts w:ascii="Times New Roman" w:hAnsi="Times New Roman" w:eastAsia="楷体_GB2312"/>
        </w:rPr>
        <w:t>二、其他收入：</w:t>
      </w:r>
      <w:r>
        <w:rPr>
          <w:rFonts w:ascii="Times New Roman" w:hAnsi="Times New Roman"/>
        </w:rPr>
        <w:t>指除“财政拨款收入”“上级补助收入”“事业收入”“经营收入”等以外的收入。主要是存款利息收入等。</w:t>
      </w:r>
    </w:p>
    <w:p>
      <w:pPr>
        <w:ind w:firstLine="608" w:firstLineChars="200"/>
        <w:rPr>
          <w:rFonts w:ascii="Times New Roman" w:hAnsi="Times New Roman"/>
        </w:rPr>
      </w:pPr>
      <w:r>
        <w:rPr>
          <w:rFonts w:ascii="Times New Roman" w:hAnsi="Times New Roman" w:eastAsia="楷体_GB2312"/>
        </w:rPr>
        <w:t>三、年初结转和结余：</w:t>
      </w:r>
      <w:r>
        <w:rPr>
          <w:rFonts w:ascii="Times New Roman" w:hAnsi="Times New Roman"/>
        </w:rPr>
        <w:t>指以前年度尚未完成、结转到本年按有关规定继续使用的资金。</w:t>
      </w:r>
    </w:p>
    <w:p>
      <w:pPr>
        <w:ind w:firstLine="608" w:firstLineChars="200"/>
        <w:rPr>
          <w:rFonts w:ascii="Times New Roman" w:hAnsi="Times New Roman"/>
        </w:rPr>
      </w:pPr>
      <w:r>
        <w:rPr>
          <w:rFonts w:ascii="Times New Roman" w:hAnsi="Times New Roman" w:eastAsia="楷体_GB2312"/>
        </w:rPr>
        <w:t>四、年末结转和结余：</w:t>
      </w:r>
      <w:r>
        <w:rPr>
          <w:rFonts w:ascii="Times New Roman" w:hAnsi="Times New Roman"/>
        </w:rPr>
        <w:t>指本年度或以前年度预算安排、因客观条件发生变化无法按原计划实施，需要延迟到以后年度按有关规定继续使用的资金。</w:t>
      </w:r>
    </w:p>
    <w:p>
      <w:pPr>
        <w:ind w:firstLine="608" w:firstLineChars="200"/>
        <w:rPr>
          <w:rFonts w:ascii="Times New Roman" w:hAnsi="Times New Roman"/>
        </w:rPr>
      </w:pPr>
      <w:r>
        <w:rPr>
          <w:rFonts w:ascii="Times New Roman" w:hAnsi="Times New Roman" w:eastAsia="楷体_GB2312"/>
        </w:rPr>
        <w:t>五、一般公共服务：</w:t>
      </w:r>
      <w:r>
        <w:rPr>
          <w:rFonts w:ascii="Times New Roman" w:hAnsi="Times New Roman"/>
        </w:rPr>
        <w:t>反映政府提供一般公共服务的支出。</w:t>
      </w:r>
    </w:p>
    <w:p>
      <w:pPr>
        <w:ind w:firstLine="608" w:firstLineChars="200"/>
        <w:rPr>
          <w:rFonts w:ascii="Times New Roman" w:hAnsi="Times New Roman"/>
        </w:rPr>
      </w:pPr>
      <w:r>
        <w:rPr>
          <w:rFonts w:ascii="Times New Roman" w:hAnsi="Times New Roman"/>
        </w:rPr>
        <w:t>行政（事业）运行是反映行政（事业）单位（含实行公务员管理的事业单位）用于保障机构正常运行、开展日常工作的基本支出。</w:t>
      </w:r>
    </w:p>
    <w:p>
      <w:pPr>
        <w:ind w:firstLine="608" w:firstLineChars="200"/>
        <w:rPr>
          <w:rFonts w:ascii="Times New Roman" w:hAnsi="Times New Roman"/>
        </w:rPr>
      </w:pPr>
      <w:r>
        <w:rPr>
          <w:rFonts w:ascii="Times New Roman" w:hAnsi="Times New Roman"/>
        </w:rPr>
        <w:t>一般行政管理事务反映行政单位（含实行公务员管理的事业单位）未单独设置项级科目的项目支出。</w:t>
      </w:r>
    </w:p>
    <w:p>
      <w:pPr>
        <w:ind w:firstLine="608" w:firstLineChars="200"/>
        <w:rPr>
          <w:rFonts w:ascii="Times New Roman" w:hAnsi="Times New Roman"/>
        </w:rPr>
      </w:pPr>
      <w:r>
        <w:rPr>
          <w:rFonts w:hint="eastAsia" w:ascii="Times New Roman" w:hAnsi="Times New Roman" w:eastAsia="楷体_GB2312"/>
        </w:rPr>
        <w:t>六</w:t>
      </w:r>
      <w:r>
        <w:rPr>
          <w:rFonts w:ascii="Times New Roman" w:hAnsi="Times New Roman" w:eastAsia="楷体_GB2312"/>
        </w:rPr>
        <w:t>、</w:t>
      </w:r>
      <w:r>
        <w:rPr>
          <w:rFonts w:hint="eastAsia" w:ascii="Times New Roman" w:hAnsi="Times New Roman" w:eastAsia="楷体_GB2312"/>
        </w:rPr>
        <w:t>科学技术</w:t>
      </w:r>
      <w:r>
        <w:rPr>
          <w:rFonts w:ascii="Times New Roman" w:hAnsi="Times New Roman" w:eastAsia="楷体_GB2312"/>
        </w:rPr>
        <w:t>：</w:t>
      </w:r>
      <w:r>
        <w:rPr>
          <w:rFonts w:ascii="Times New Roman" w:hAnsi="Times New Roman"/>
        </w:rPr>
        <w:t>反映</w:t>
      </w:r>
      <w:r>
        <w:rPr>
          <w:rFonts w:hint="eastAsia" w:ascii="Times New Roman" w:hAnsi="Times New Roman"/>
        </w:rPr>
        <w:t>用于科学技术方面的支</w:t>
      </w:r>
      <w:r>
        <w:rPr>
          <w:rFonts w:ascii="Times New Roman" w:hAnsi="Times New Roman"/>
        </w:rPr>
        <w:t>出。</w:t>
      </w:r>
    </w:p>
    <w:p>
      <w:pPr>
        <w:ind w:firstLine="608" w:firstLineChars="200"/>
        <w:rPr>
          <w:rFonts w:ascii="Times New Roman" w:hAnsi="Times New Roman"/>
        </w:rPr>
      </w:pPr>
      <w:r>
        <w:rPr>
          <w:rFonts w:ascii="Times New Roman" w:hAnsi="Times New Roman"/>
        </w:rPr>
        <w:t>行政运行是反映行政单位（含实行公务员管理的事业单位）用于保障机构正常运行、开展日常工作的基本支出。</w:t>
      </w:r>
    </w:p>
    <w:p>
      <w:pPr>
        <w:ind w:firstLine="608" w:firstLineChars="200"/>
        <w:rPr>
          <w:rFonts w:ascii="Times New Roman" w:hAnsi="Times New Roman"/>
        </w:rPr>
      </w:pPr>
      <w:r>
        <w:rPr>
          <w:rFonts w:ascii="Times New Roman" w:hAnsi="Times New Roman"/>
        </w:rPr>
        <w:t>一般行政管理事务反映行政单位（含实行公务员管理的事业单位）未单独设置项级科目的</w:t>
      </w:r>
      <w:r>
        <w:rPr>
          <w:rFonts w:hint="eastAsia" w:ascii="Times New Roman" w:hAnsi="Times New Roman"/>
        </w:rPr>
        <w:t>其他</w:t>
      </w:r>
      <w:r>
        <w:rPr>
          <w:rFonts w:ascii="Times New Roman" w:hAnsi="Times New Roman"/>
        </w:rPr>
        <w:t>项目支出。</w:t>
      </w:r>
    </w:p>
    <w:p>
      <w:pPr>
        <w:ind w:firstLine="608" w:firstLineChars="200"/>
        <w:rPr>
          <w:rFonts w:ascii="Times New Roman" w:hAnsi="Times New Roman"/>
        </w:rPr>
      </w:pPr>
      <w:r>
        <w:rPr>
          <w:rFonts w:hint="eastAsia" w:ascii="Times New Roman" w:hAnsi="Times New Roman" w:eastAsia="楷体_GB2312"/>
        </w:rPr>
        <w:t>七</w:t>
      </w:r>
      <w:r>
        <w:rPr>
          <w:rFonts w:ascii="Times New Roman" w:hAnsi="Times New Roman" w:eastAsia="楷体_GB2312"/>
        </w:rPr>
        <w:t>、社会保障和就业：</w:t>
      </w:r>
      <w:r>
        <w:rPr>
          <w:rFonts w:ascii="Times New Roman" w:hAnsi="Times New Roman"/>
        </w:rPr>
        <w:t>反映政府在社会保障和就业方面的支出。有关事项包括社会保障和就业管理事务、民政管理事务、行政事业单位离退休、抚恤、退役安置、社会福利、残疾人事务、自然灾害生活救助、红十字事务等。</w:t>
      </w:r>
    </w:p>
    <w:p>
      <w:pPr>
        <w:ind w:firstLine="608" w:firstLineChars="200"/>
        <w:rPr>
          <w:rFonts w:ascii="Times New Roman" w:hAnsi="Times New Roman"/>
        </w:rPr>
      </w:pPr>
      <w:r>
        <w:rPr>
          <w:rFonts w:hint="eastAsia" w:ascii="Times New Roman" w:hAnsi="Times New Roman" w:eastAsia="楷体_GB2312"/>
        </w:rPr>
        <w:t>八</w:t>
      </w:r>
      <w:r>
        <w:rPr>
          <w:rFonts w:ascii="Times New Roman" w:hAnsi="Times New Roman" w:eastAsia="楷体_GB2312"/>
        </w:rPr>
        <w:t>、卫生健康：</w:t>
      </w:r>
      <w:r>
        <w:rPr>
          <w:rFonts w:ascii="Times New Roman" w:hAnsi="Times New Roman"/>
        </w:rPr>
        <w:t>反映政府医疗卫生方面的支出。具体包括医疗卫生管理事务支出、公立医院、基层医疗卫生机构支出、公共卫生、医疗保障、中医药等。</w:t>
      </w:r>
    </w:p>
    <w:p>
      <w:pPr>
        <w:ind w:firstLine="608" w:firstLineChars="200"/>
        <w:rPr>
          <w:rFonts w:ascii="Times New Roman" w:hAnsi="Times New Roman"/>
        </w:rPr>
      </w:pPr>
      <w:r>
        <w:rPr>
          <w:rFonts w:ascii="Times New Roman" w:hAnsi="Times New Roman"/>
        </w:rPr>
        <w:t>行政（事业）单位医疗反映财政部门集中安排的行政（事业）单位基本医疗保险缴费经费。</w:t>
      </w:r>
    </w:p>
    <w:p>
      <w:pPr>
        <w:ind w:firstLine="608" w:firstLineChars="200"/>
        <w:rPr>
          <w:rFonts w:ascii="Times New Roman" w:hAnsi="Times New Roman"/>
        </w:rPr>
      </w:pPr>
      <w:r>
        <w:rPr>
          <w:rFonts w:hint="eastAsia" w:ascii="Times New Roman" w:hAnsi="Times New Roman" w:eastAsia="楷体_GB2312"/>
        </w:rPr>
        <w:t>九</w:t>
      </w:r>
      <w:r>
        <w:rPr>
          <w:rFonts w:ascii="Times New Roman" w:hAnsi="Times New Roman" w:eastAsia="楷体_GB2312"/>
        </w:rPr>
        <w:t>、基本支出：</w:t>
      </w:r>
      <w:r>
        <w:rPr>
          <w:rFonts w:ascii="Times New Roman" w:hAnsi="Times New Roman"/>
        </w:rPr>
        <w:t>指为保障机构正常运转、完成日常工作任务而发生的人员支出（包括基本工资、津贴补贴等）和公用支出（包括办公费、水电费、邮电费、交通费、差旅费等）。</w:t>
      </w:r>
    </w:p>
    <w:p>
      <w:pPr>
        <w:ind w:firstLine="608" w:firstLineChars="200"/>
        <w:rPr>
          <w:rFonts w:ascii="Times New Roman" w:hAnsi="Times New Roman"/>
        </w:rPr>
      </w:pPr>
      <w:r>
        <w:rPr>
          <w:rFonts w:hint="eastAsia" w:ascii="Times New Roman" w:hAnsi="Times New Roman" w:eastAsia="楷体_GB2312"/>
        </w:rPr>
        <w:t>十</w:t>
      </w:r>
      <w:r>
        <w:rPr>
          <w:rFonts w:ascii="Times New Roman" w:hAnsi="Times New Roman" w:eastAsia="楷体_GB2312"/>
        </w:rPr>
        <w:t>、项目支出：</w:t>
      </w:r>
      <w:r>
        <w:rPr>
          <w:rFonts w:ascii="Times New Roman" w:hAnsi="Times New Roman"/>
        </w:rPr>
        <w:t>指在基本支出之外为完成特定行政任务和事业发展目标所发生的支出。</w:t>
      </w:r>
    </w:p>
    <w:p>
      <w:pPr>
        <w:ind w:firstLine="608" w:firstLineChars="200"/>
        <w:rPr>
          <w:rFonts w:ascii="Times New Roman" w:hAnsi="Times New Roman"/>
        </w:rPr>
      </w:pPr>
      <w:r>
        <w:rPr>
          <w:rFonts w:ascii="Times New Roman" w:hAnsi="Times New Roman" w:eastAsia="楷体_GB2312"/>
        </w:rPr>
        <w:t>十</w:t>
      </w:r>
      <w:r>
        <w:rPr>
          <w:rFonts w:hint="eastAsia" w:ascii="Times New Roman" w:hAnsi="Times New Roman" w:eastAsia="楷体_GB2312"/>
        </w:rPr>
        <w:t>一</w:t>
      </w:r>
      <w:r>
        <w:rPr>
          <w:rFonts w:ascii="Times New Roman" w:hAnsi="Times New Roman" w:eastAsia="楷体_GB2312"/>
        </w:rPr>
        <w:t>、“三公”经费：</w:t>
      </w:r>
      <w:r>
        <w:rPr>
          <w:rFonts w:ascii="Times New Roman" w:hAnsi="Times New Roman"/>
        </w:rPr>
        <w:t>是指用财政拨款安排的因公出国（境）费、公务用车购置及运行维护费、公务接待费。</w:t>
      </w:r>
    </w:p>
    <w:p>
      <w:pPr>
        <w:ind w:firstLine="608" w:firstLineChars="200"/>
        <w:rPr>
          <w:rFonts w:ascii="Times New Roman" w:hAnsi="Times New Roman"/>
        </w:rPr>
      </w:pPr>
      <w:r>
        <w:rPr>
          <w:rFonts w:ascii="Times New Roman" w:hAnsi="Times New Roman" w:eastAsia="楷体_GB2312"/>
        </w:rPr>
        <w:t>十</w:t>
      </w:r>
      <w:r>
        <w:rPr>
          <w:rFonts w:hint="eastAsia" w:ascii="Times New Roman" w:hAnsi="Times New Roman" w:eastAsia="楷体_GB2312"/>
        </w:rPr>
        <w:t>二</w:t>
      </w:r>
      <w:r>
        <w:rPr>
          <w:rFonts w:ascii="Times New Roman" w:hAnsi="Times New Roman" w:eastAsia="楷体_GB2312"/>
        </w:rPr>
        <w:t>、因公出国（境）费：</w:t>
      </w:r>
      <w:r>
        <w:rPr>
          <w:rFonts w:ascii="Times New Roman" w:hAnsi="Times New Roman"/>
        </w:rPr>
        <w:t>指单位公务出国（境）的国际旅费、国外城市间交通费、住宿费、伙食费、培训费、公杂费等。</w:t>
      </w:r>
    </w:p>
    <w:p>
      <w:pPr>
        <w:ind w:firstLine="608" w:firstLineChars="200"/>
        <w:rPr>
          <w:rFonts w:ascii="Times New Roman" w:hAnsi="Times New Roman"/>
        </w:rPr>
      </w:pPr>
      <w:r>
        <w:rPr>
          <w:rFonts w:ascii="Times New Roman" w:hAnsi="Times New Roman" w:eastAsia="楷体_GB2312"/>
        </w:rPr>
        <w:t>十</w:t>
      </w:r>
      <w:r>
        <w:rPr>
          <w:rFonts w:hint="eastAsia" w:ascii="Times New Roman" w:hAnsi="Times New Roman" w:eastAsia="楷体_GB2312"/>
        </w:rPr>
        <w:t>三</w:t>
      </w:r>
      <w:r>
        <w:rPr>
          <w:rFonts w:ascii="Times New Roman" w:hAnsi="Times New Roman" w:eastAsia="楷体_GB2312"/>
        </w:rPr>
        <w:t>、公务接待费：</w:t>
      </w:r>
      <w:r>
        <w:rPr>
          <w:rFonts w:ascii="Times New Roman" w:hAnsi="Times New Roman"/>
        </w:rPr>
        <w:t>指单位按规定开支的各类公务接待（含外宾接待）费用。</w:t>
      </w:r>
    </w:p>
    <w:p>
      <w:pPr>
        <w:ind w:firstLine="608" w:firstLineChars="200"/>
        <w:rPr>
          <w:rFonts w:ascii="Times New Roman" w:hAnsi="Times New Roman"/>
        </w:rPr>
      </w:pPr>
      <w:r>
        <w:rPr>
          <w:rFonts w:ascii="Times New Roman" w:hAnsi="Times New Roman" w:eastAsia="楷体_GB2312"/>
        </w:rPr>
        <w:t>十</w:t>
      </w:r>
      <w:r>
        <w:rPr>
          <w:rFonts w:hint="eastAsia" w:ascii="Times New Roman" w:hAnsi="Times New Roman" w:eastAsia="楷体_GB2312"/>
        </w:rPr>
        <w:t>四</w:t>
      </w:r>
      <w:r>
        <w:rPr>
          <w:rFonts w:ascii="Times New Roman" w:hAnsi="Times New Roman" w:eastAsia="楷体_GB2312"/>
        </w:rPr>
        <w:t>、公务用车购置及运行费：</w:t>
      </w:r>
      <w:r>
        <w:rPr>
          <w:rFonts w:ascii="Times New Roman" w:hAnsi="Times New Roman"/>
        </w:rPr>
        <w:t>指单位公务用车车辆购置支出（含车辆购置税）及按规定保留的公务用车燃料费、维修保养费、过桥过路费、保险费、检测费等支出。</w:t>
      </w:r>
    </w:p>
    <w:p>
      <w:pPr>
        <w:ind w:firstLine="608" w:firstLineChars="200"/>
        <w:rPr>
          <w:rFonts w:ascii="Times New Roman" w:hAnsi="Times New Roman"/>
        </w:rPr>
      </w:pPr>
      <w:r>
        <w:rPr>
          <w:rFonts w:ascii="Times New Roman" w:hAnsi="Times New Roman" w:eastAsia="楷体_GB2312"/>
        </w:rPr>
        <w:t>十</w:t>
      </w:r>
      <w:r>
        <w:rPr>
          <w:rFonts w:hint="eastAsia" w:ascii="Times New Roman" w:hAnsi="Times New Roman" w:eastAsia="楷体_GB2312"/>
        </w:rPr>
        <w:t>五</w:t>
      </w:r>
      <w:r>
        <w:rPr>
          <w:rFonts w:ascii="Times New Roman" w:hAnsi="Times New Roman" w:eastAsia="楷体_GB2312"/>
        </w:rPr>
        <w:t>、机关运行经费：</w:t>
      </w:r>
      <w:r>
        <w:rPr>
          <w:rFonts w:ascii="Times New Roman" w:hAnsi="Times New Roman"/>
        </w:rPr>
        <w:t>是指为保障部门运行用于购买货物和服务的各项资金，包括办公</w:t>
      </w:r>
      <w:r>
        <w:rPr>
          <w:rFonts w:hint="eastAsia" w:ascii="Times New Roman" w:hAnsi="Times New Roman"/>
        </w:rPr>
        <w:t>费、</w:t>
      </w:r>
      <w:r>
        <w:rPr>
          <w:rFonts w:ascii="Times New Roman" w:hAnsi="Times New Roman"/>
        </w:rPr>
        <w:t>印刷费、邮电费、差旅费、会议费、福利费、日常维修费、委托业务费、专用材料、设备购置费、水电费、物业管理费、公务接待费、公务车运行维护费、其他费用等。</w:t>
      </w:r>
    </w:p>
    <w:p>
      <w:pPr>
        <w:ind w:firstLine="608" w:firstLineChars="200"/>
        <w:rPr>
          <w:rFonts w:ascii="Times New Roman" w:hAnsi="Times New Roman"/>
        </w:rPr>
        <w:sectPr>
          <w:footerReference r:id="rId3" w:type="default"/>
          <w:pgSz w:w="11906" w:h="16838"/>
          <w:pgMar w:top="1701" w:right="1701" w:bottom="1701" w:left="1701" w:header="851" w:footer="1134" w:gutter="0"/>
          <w:cols w:space="720" w:num="1"/>
          <w:docGrid w:type="linesAndChars" w:linePitch="610" w:charSpace="-3336"/>
        </w:sectPr>
      </w:pPr>
    </w:p>
    <w:p>
      <w:pPr>
        <w:widowControl/>
        <w:spacing w:line="500" w:lineRule="exact"/>
        <w:jc w:val="center"/>
        <w:rPr>
          <w:rFonts w:ascii="Times New Roman" w:hAnsi="Times New Roman" w:eastAsia="方正小标宋简体"/>
          <w:color w:val="000000"/>
          <w:kern w:val="0"/>
          <w:sz w:val="44"/>
          <w:szCs w:val="44"/>
        </w:rPr>
      </w:pPr>
      <w:r>
        <w:rPr>
          <w:rFonts w:ascii="Times New Roman" w:hAnsi="Times New Roman" w:eastAsia="方正小标宋简体"/>
          <w:color w:val="000000"/>
          <w:kern w:val="0"/>
          <w:sz w:val="44"/>
          <w:szCs w:val="44"/>
        </w:rPr>
        <w:t>收入支出决算总表</w:t>
      </w:r>
    </w:p>
    <w:p>
      <w:pPr>
        <w:widowControl/>
        <w:spacing w:line="36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公开01表</w:t>
      </w:r>
    </w:p>
    <w:p>
      <w:pPr>
        <w:widowControl/>
        <w:tabs>
          <w:tab w:val="left" w:pos="4313"/>
          <w:tab w:val="left" w:pos="4893"/>
          <w:tab w:val="left" w:pos="7153"/>
          <w:tab w:val="left" w:pos="11373"/>
          <w:tab w:val="left" w:pos="11953"/>
        </w:tabs>
        <w:spacing w:line="360" w:lineRule="exact"/>
        <w:ind w:left="93"/>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r>
        <w:rPr>
          <w:rFonts w:hint="eastAsia" w:ascii="Times New Roman" w:hAnsi="Times New Roman" w:eastAsia="宋体"/>
          <w:color w:val="000000"/>
          <w:kern w:val="0"/>
          <w:sz w:val="20"/>
          <w:szCs w:val="20"/>
        </w:rPr>
        <w:t xml:space="preserve"> </w:t>
      </w:r>
      <w:r>
        <w:rPr>
          <w:rFonts w:ascii="Times New Roman" w:hAnsi="Times New Roman" w:eastAsia="宋体"/>
          <w:color w:val="000000"/>
          <w:kern w:val="0"/>
          <w:sz w:val="20"/>
          <w:szCs w:val="20"/>
        </w:rPr>
        <w:t xml:space="preserve">                                                                                         金额单位：万元</w:t>
      </w:r>
    </w:p>
    <w:tbl>
      <w:tblPr>
        <w:tblStyle w:val="6"/>
        <w:tblW w:w="14175"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57" w:type="dxa"/>
          <w:bottom w:w="0" w:type="dxa"/>
          <w:right w:w="57" w:type="dxa"/>
        </w:tblCellMar>
      </w:tblPr>
      <w:tblGrid>
        <w:gridCol w:w="4150"/>
        <w:gridCol w:w="669"/>
        <w:gridCol w:w="2269"/>
        <w:gridCol w:w="4131"/>
        <w:gridCol w:w="687"/>
        <w:gridCol w:w="2269"/>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97" w:hRule="atLeast"/>
          <w:jc w:val="center"/>
        </w:trPr>
        <w:tc>
          <w:tcPr>
            <w:tcW w:w="7088" w:type="dxa"/>
            <w:gridSpan w:val="3"/>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收入</w:t>
            </w:r>
          </w:p>
        </w:tc>
        <w:tc>
          <w:tcPr>
            <w:tcW w:w="7087" w:type="dxa"/>
            <w:gridSpan w:val="3"/>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支出</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97" w:hRule="atLeast"/>
          <w:jc w:val="center"/>
        </w:trPr>
        <w:tc>
          <w:tcPr>
            <w:tcW w:w="4150"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项目</w:t>
            </w:r>
          </w:p>
        </w:tc>
        <w:tc>
          <w:tcPr>
            <w:tcW w:w="6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行次</w:t>
            </w:r>
          </w:p>
        </w:tc>
        <w:tc>
          <w:tcPr>
            <w:tcW w:w="22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金额</w:t>
            </w:r>
          </w:p>
        </w:tc>
        <w:tc>
          <w:tcPr>
            <w:tcW w:w="4131"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项目</w:t>
            </w:r>
          </w:p>
        </w:tc>
        <w:tc>
          <w:tcPr>
            <w:tcW w:w="687"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行次</w:t>
            </w:r>
          </w:p>
        </w:tc>
        <w:tc>
          <w:tcPr>
            <w:tcW w:w="22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金额</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97" w:hRule="atLeast"/>
          <w:jc w:val="center"/>
        </w:trPr>
        <w:tc>
          <w:tcPr>
            <w:tcW w:w="4150"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栏次</w:t>
            </w:r>
          </w:p>
        </w:tc>
        <w:tc>
          <w:tcPr>
            <w:tcW w:w="6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　</w:t>
            </w:r>
          </w:p>
        </w:tc>
        <w:tc>
          <w:tcPr>
            <w:tcW w:w="22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1</w:t>
            </w:r>
          </w:p>
        </w:tc>
        <w:tc>
          <w:tcPr>
            <w:tcW w:w="4131"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栏次</w:t>
            </w:r>
          </w:p>
        </w:tc>
        <w:tc>
          <w:tcPr>
            <w:tcW w:w="687"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　</w:t>
            </w:r>
          </w:p>
        </w:tc>
        <w:tc>
          <w:tcPr>
            <w:tcW w:w="2269" w:type="dxa"/>
            <w:shd w:val="clear" w:color="FFFFFF" w:fill="C0C0C0"/>
            <w:noWrap/>
            <w:vAlign w:val="center"/>
          </w:tcPr>
          <w:p>
            <w:pPr>
              <w:widowControl/>
              <w:spacing w:line="280" w:lineRule="exact"/>
              <w:jc w:val="center"/>
              <w:rPr>
                <w:rFonts w:ascii="Times New Roman" w:hAnsi="Times New Roman" w:eastAsia="黑体"/>
                <w:color w:val="000000"/>
                <w:kern w:val="0"/>
                <w:sz w:val="24"/>
                <w:szCs w:val="24"/>
              </w:rPr>
            </w:pPr>
            <w:r>
              <w:rPr>
                <w:rFonts w:ascii="Times New Roman" w:hAnsi="Times New Roman" w:eastAsia="黑体"/>
                <w:color w:val="000000"/>
                <w:kern w:val="0"/>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一、一般公共预算财政拨款收入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一、一般公共服务支出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32</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二、政府性基金预算财政拨款收入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二、外交支出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33</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三、国有资本经营预算财政拨款收入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三、国防支出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34</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四、上级补助收入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四、公共安全支出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35</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五、事业收入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五、教育支出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36</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六、经营收入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6</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六、科学技术支出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37</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七、附属单位上缴收入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7</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七、文化旅游体育与传媒支出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38</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八、其他收入</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8</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八、社会保障和就业支出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39</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9</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九、卫生健康支出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40</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10</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十、节能环保支出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41</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11</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十一、城乡社区支出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42</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12</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十二、农林水支出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43</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13</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十三、交通运输支出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44</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14</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十四、资源勘探工业信息等支出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45</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15</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十五、商业服务业等支出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46</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16</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十六、金融支出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47</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17</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十七、援助其他地区支出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48</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18</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十八、自然资源海洋气象等支出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49</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19</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十九、住房保障支出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50</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20</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二十、粮油物资储备支出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51</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21</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二十一、国有资本经营预算支出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52</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22</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二十二、灾害防治及应急管理支出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53</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23</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二十三、其他支出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54</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center"/>
              <w:rPr>
                <w:rFonts w:ascii="Times New Roman" w:hAnsi="Times New Roman" w:eastAsia="宋体"/>
                <w:b/>
                <w:bCs/>
                <w:color w:val="000000"/>
                <w:kern w:val="0"/>
                <w:sz w:val="24"/>
                <w:szCs w:val="24"/>
              </w:rPr>
            </w:pPr>
            <w:r>
              <w:rPr>
                <w:rFonts w:ascii="Times New Roman" w:hAnsi="Times New Roman" w:eastAsia="宋体"/>
                <w:b/>
                <w:bCs/>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24</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0"/>
                <w:szCs w:val="20"/>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二十四、债务还本支出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55</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25</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0"/>
                <w:szCs w:val="20"/>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二十五、债务付息支出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56</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26</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0"/>
                <w:szCs w:val="20"/>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二十六、抗疫特别国债安排的支出</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57</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center"/>
              <w:rPr>
                <w:rFonts w:ascii="Times New Roman" w:hAnsi="Times New Roman" w:eastAsia="宋体"/>
                <w:b/>
                <w:bCs/>
                <w:color w:val="000000"/>
                <w:kern w:val="0"/>
                <w:sz w:val="24"/>
                <w:szCs w:val="24"/>
              </w:rPr>
            </w:pPr>
            <w:r>
              <w:rPr>
                <w:rFonts w:ascii="Times New Roman" w:hAnsi="Times New Roman" w:eastAsia="宋体"/>
                <w:b/>
                <w:bCs/>
                <w:color w:val="000000"/>
                <w:kern w:val="0"/>
                <w:sz w:val="24"/>
                <w:szCs w:val="24"/>
              </w:rPr>
              <w:t>本年收入合计</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27</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p>
        </w:tc>
        <w:tc>
          <w:tcPr>
            <w:tcW w:w="4131" w:type="dxa"/>
            <w:shd w:val="clear" w:color="FFFFFF" w:fill="C0C0C0"/>
            <w:noWrap/>
            <w:vAlign w:val="center"/>
          </w:tcPr>
          <w:p>
            <w:pPr>
              <w:widowControl/>
              <w:spacing w:line="280" w:lineRule="exact"/>
              <w:jc w:val="center"/>
              <w:rPr>
                <w:rFonts w:ascii="Times New Roman" w:hAnsi="Times New Roman" w:eastAsia="宋体"/>
                <w:b/>
                <w:bCs/>
                <w:color w:val="000000"/>
                <w:kern w:val="0"/>
                <w:sz w:val="24"/>
                <w:szCs w:val="24"/>
              </w:rPr>
            </w:pPr>
            <w:r>
              <w:rPr>
                <w:rFonts w:ascii="Times New Roman" w:hAnsi="Times New Roman" w:eastAsia="宋体"/>
                <w:b/>
                <w:bCs/>
                <w:color w:val="000000"/>
                <w:kern w:val="0"/>
                <w:sz w:val="24"/>
                <w:szCs w:val="24"/>
              </w:rPr>
              <w:t>本年支出合计</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58</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使用非财政拨款结余</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28</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结余分配</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59</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年初结转和结余</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29</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年末结转和结余</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60</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30</w:t>
            </w:r>
          </w:p>
        </w:tc>
        <w:tc>
          <w:tcPr>
            <w:tcW w:w="2269" w:type="dxa"/>
            <w:shd w:val="clear" w:color="auto" w:fill="auto"/>
            <w:noWrap/>
            <w:vAlign w:val="center"/>
          </w:tcPr>
          <w:p>
            <w:pPr>
              <w:widowControl/>
              <w:spacing w:line="280" w:lineRule="exact"/>
              <w:jc w:val="left"/>
              <w:rPr>
                <w:rFonts w:ascii="Times New Roman" w:hAnsi="Times New Roman" w:eastAsia="宋体"/>
                <w:color w:val="000000"/>
                <w:kern w:val="0"/>
                <w:sz w:val="24"/>
                <w:szCs w:val="24"/>
              </w:rPr>
            </w:pPr>
            <w:r>
              <w:rPr>
                <w:rFonts w:hint="eastAsia" w:cs="Arial"/>
                <w:color w:val="000000"/>
                <w:sz w:val="22"/>
              </w:rPr>
              <w:t>　</w:t>
            </w:r>
          </w:p>
        </w:tc>
        <w:tc>
          <w:tcPr>
            <w:tcW w:w="4131" w:type="dxa"/>
            <w:shd w:val="clear" w:color="FFFFFF" w:fill="C0C0C0"/>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　</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61</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40" w:hRule="atLeast"/>
          <w:jc w:val="center"/>
        </w:trPr>
        <w:tc>
          <w:tcPr>
            <w:tcW w:w="4150" w:type="dxa"/>
            <w:shd w:val="clear" w:color="FFFFFF" w:fill="C0C0C0"/>
            <w:noWrap/>
            <w:vAlign w:val="center"/>
          </w:tcPr>
          <w:p>
            <w:pPr>
              <w:widowControl/>
              <w:spacing w:line="280" w:lineRule="exact"/>
              <w:jc w:val="center"/>
              <w:rPr>
                <w:rFonts w:ascii="Times New Roman" w:hAnsi="Times New Roman" w:eastAsia="宋体"/>
                <w:b/>
                <w:bCs/>
                <w:color w:val="000000"/>
                <w:kern w:val="0"/>
                <w:sz w:val="24"/>
                <w:szCs w:val="24"/>
              </w:rPr>
            </w:pPr>
            <w:r>
              <w:rPr>
                <w:rFonts w:ascii="Times New Roman" w:hAnsi="Times New Roman" w:eastAsia="宋体"/>
                <w:b/>
                <w:bCs/>
                <w:color w:val="000000"/>
                <w:kern w:val="0"/>
                <w:sz w:val="24"/>
                <w:szCs w:val="24"/>
              </w:rPr>
              <w:t>总计</w:t>
            </w:r>
          </w:p>
        </w:tc>
        <w:tc>
          <w:tcPr>
            <w:tcW w:w="669"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31</w:t>
            </w:r>
          </w:p>
        </w:tc>
        <w:tc>
          <w:tcPr>
            <w:tcW w:w="2269" w:type="dxa"/>
            <w:shd w:val="clear" w:color="auto" w:fill="auto"/>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p>
        </w:tc>
        <w:tc>
          <w:tcPr>
            <w:tcW w:w="4131" w:type="dxa"/>
            <w:shd w:val="clear" w:color="FFFFFF" w:fill="C0C0C0"/>
            <w:noWrap/>
            <w:vAlign w:val="center"/>
          </w:tcPr>
          <w:p>
            <w:pPr>
              <w:widowControl/>
              <w:spacing w:line="280" w:lineRule="exact"/>
              <w:jc w:val="center"/>
              <w:rPr>
                <w:rFonts w:ascii="Times New Roman" w:hAnsi="Times New Roman" w:eastAsia="宋体"/>
                <w:b/>
                <w:bCs/>
                <w:color w:val="000000"/>
                <w:kern w:val="0"/>
                <w:sz w:val="24"/>
                <w:szCs w:val="24"/>
              </w:rPr>
            </w:pPr>
            <w:r>
              <w:rPr>
                <w:rFonts w:ascii="Times New Roman" w:hAnsi="Times New Roman" w:eastAsia="宋体"/>
                <w:b/>
                <w:bCs/>
                <w:color w:val="000000"/>
                <w:kern w:val="0"/>
                <w:sz w:val="24"/>
                <w:szCs w:val="24"/>
              </w:rPr>
              <w:t>总计</w:t>
            </w:r>
          </w:p>
        </w:tc>
        <w:tc>
          <w:tcPr>
            <w:tcW w:w="687" w:type="dxa"/>
            <w:shd w:val="clear" w:color="FFFFFF" w:fill="C0C0C0"/>
            <w:noWrap/>
            <w:vAlign w:val="center"/>
          </w:tcPr>
          <w:p>
            <w:pPr>
              <w:widowControl/>
              <w:spacing w:line="280" w:lineRule="exact"/>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62</w:t>
            </w:r>
          </w:p>
        </w:tc>
        <w:tc>
          <w:tcPr>
            <w:tcW w:w="2269" w:type="dxa"/>
            <w:noWrap/>
            <w:vAlign w:val="center"/>
          </w:tcPr>
          <w:p>
            <w:pPr>
              <w:widowControl/>
              <w:spacing w:line="280" w:lineRule="exact"/>
              <w:jc w:val="right"/>
              <w:rPr>
                <w:rFonts w:ascii="Times New Roman" w:hAnsi="Times New Roman" w:eastAsia="宋体"/>
                <w:color w:val="000000"/>
                <w:kern w:val="0"/>
                <w:sz w:val="24"/>
                <w:szCs w:val="24"/>
              </w:rPr>
            </w:pPr>
            <w:r>
              <w:rPr>
                <w:rFonts w:cs="Arial"/>
                <w:color w:val="000000"/>
                <w:sz w:val="22"/>
              </w:rPr>
              <w:t>63.23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trHeight w:val="397" w:hRule="atLeast"/>
          <w:jc w:val="center"/>
        </w:trPr>
        <w:tc>
          <w:tcPr>
            <w:tcW w:w="14175" w:type="dxa"/>
            <w:gridSpan w:val="6"/>
            <w:noWrap/>
            <w:vAlign w:val="center"/>
          </w:tcPr>
          <w:p>
            <w:pPr>
              <w:widowControl/>
              <w:spacing w:line="280" w:lineRule="exact"/>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注：本表反映部门本年度的总收支和年末结转结余情况。本套报表金额单位转换时可能存在尾数误差。</w:t>
            </w:r>
          </w:p>
        </w:tc>
      </w:tr>
    </w:tbl>
    <w:p>
      <w:pPr>
        <w:ind w:firstLine="640" w:firstLineChars="200"/>
        <w:rPr>
          <w:rFonts w:ascii="Times New Roman" w:hAnsi="Times New Roman"/>
        </w:rPr>
      </w:pPr>
    </w:p>
    <w:p>
      <w:pPr>
        <w:widowControl/>
        <w:spacing w:line="500" w:lineRule="exact"/>
        <w:jc w:val="center"/>
        <w:rPr>
          <w:rFonts w:ascii="Times New Roman" w:hAnsi="Times New Roman" w:eastAsia="方正小标宋简体"/>
          <w:color w:val="000000"/>
          <w:kern w:val="0"/>
          <w:sz w:val="44"/>
          <w:szCs w:val="44"/>
        </w:rPr>
      </w:pPr>
      <w:r>
        <w:rPr>
          <w:rFonts w:ascii="Times New Roman" w:hAnsi="Times New Roman"/>
        </w:rPr>
        <w:br w:type="page"/>
      </w:r>
      <w:r>
        <w:rPr>
          <w:rFonts w:ascii="Times New Roman" w:hAnsi="Times New Roman" w:eastAsia="方正小标宋简体"/>
          <w:color w:val="000000"/>
          <w:kern w:val="0"/>
          <w:sz w:val="44"/>
          <w:szCs w:val="44"/>
        </w:rPr>
        <w:t>收入决算表</w:t>
      </w:r>
    </w:p>
    <w:tbl>
      <w:tblPr>
        <w:tblStyle w:val="6"/>
        <w:tblW w:w="14175" w:type="dxa"/>
        <w:jc w:val="center"/>
        <w:tblLayout w:type="fixed"/>
        <w:tblCellMar>
          <w:top w:w="0" w:type="dxa"/>
          <w:left w:w="28" w:type="dxa"/>
          <w:bottom w:w="0" w:type="dxa"/>
          <w:right w:w="28" w:type="dxa"/>
        </w:tblCellMar>
      </w:tblPr>
      <w:tblGrid>
        <w:gridCol w:w="4018"/>
        <w:gridCol w:w="1451"/>
        <w:gridCol w:w="1451"/>
        <w:gridCol w:w="1451"/>
        <w:gridCol w:w="1451"/>
        <w:gridCol w:w="1038"/>
        <w:gridCol w:w="1473"/>
        <w:gridCol w:w="1842"/>
      </w:tblGrid>
      <w:tr>
        <w:tblPrEx>
          <w:tblCellMar>
            <w:top w:w="0" w:type="dxa"/>
            <w:left w:w="28" w:type="dxa"/>
            <w:bottom w:w="0" w:type="dxa"/>
            <w:right w:w="28" w:type="dxa"/>
          </w:tblCellMar>
        </w:tblPrEx>
        <w:trPr>
          <w:trHeight w:val="255" w:hRule="atLeast"/>
          <w:jc w:val="center"/>
        </w:trPr>
        <w:tc>
          <w:tcPr>
            <w:tcW w:w="4018"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145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45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45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45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038"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473"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842" w:type="dxa"/>
            <w:tcBorders>
              <w:top w:val="nil"/>
              <w:left w:val="nil"/>
              <w:bottom w:val="nil"/>
              <w:right w:val="nil"/>
            </w:tcBorders>
            <w:noWrap/>
            <w:vAlign w:val="bottom"/>
          </w:tcPr>
          <w:p>
            <w:pPr>
              <w:widowControl/>
              <w:spacing w:line="28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公开02表</w:t>
            </w:r>
          </w:p>
          <w:p>
            <w:pPr>
              <w:widowControl/>
              <w:spacing w:line="28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6" w:type="dxa"/>
        <w:tblInd w:w="-318" w:type="dxa"/>
        <w:tblLayout w:type="autofit"/>
        <w:tblCellMar>
          <w:top w:w="0" w:type="dxa"/>
          <w:left w:w="108" w:type="dxa"/>
          <w:bottom w:w="0" w:type="dxa"/>
          <w:right w:w="108" w:type="dxa"/>
        </w:tblCellMar>
      </w:tblPr>
      <w:tblGrid>
        <w:gridCol w:w="1397"/>
        <w:gridCol w:w="3124"/>
        <w:gridCol w:w="1427"/>
        <w:gridCol w:w="1427"/>
        <w:gridCol w:w="1427"/>
        <w:gridCol w:w="1263"/>
        <w:gridCol w:w="1418"/>
        <w:gridCol w:w="1417"/>
        <w:gridCol w:w="1276"/>
      </w:tblGrid>
      <w:tr>
        <w:tblPrEx>
          <w:tblCellMar>
            <w:top w:w="0" w:type="dxa"/>
            <w:left w:w="108" w:type="dxa"/>
            <w:bottom w:w="0" w:type="dxa"/>
            <w:right w:w="108" w:type="dxa"/>
          </w:tblCellMar>
        </w:tblPrEx>
        <w:trPr>
          <w:trHeight w:val="255" w:hRule="atLeast"/>
        </w:trPr>
        <w:tc>
          <w:tcPr>
            <w:tcW w:w="4521"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项目</w:t>
            </w:r>
          </w:p>
        </w:tc>
        <w:tc>
          <w:tcPr>
            <w:tcW w:w="142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本年收入合计</w:t>
            </w:r>
          </w:p>
        </w:tc>
        <w:tc>
          <w:tcPr>
            <w:tcW w:w="142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财政拨款收入</w:t>
            </w:r>
          </w:p>
        </w:tc>
        <w:tc>
          <w:tcPr>
            <w:tcW w:w="142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上级补助收入</w:t>
            </w:r>
          </w:p>
        </w:tc>
        <w:tc>
          <w:tcPr>
            <w:tcW w:w="1263"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事业收入</w:t>
            </w:r>
          </w:p>
        </w:tc>
        <w:tc>
          <w:tcPr>
            <w:tcW w:w="1418"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经营收入</w:t>
            </w:r>
          </w:p>
        </w:tc>
        <w:tc>
          <w:tcPr>
            <w:tcW w:w="141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附属单位上缴收入</w:t>
            </w:r>
          </w:p>
        </w:tc>
        <w:tc>
          <w:tcPr>
            <w:tcW w:w="1276"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其他收入</w:t>
            </w:r>
          </w:p>
        </w:tc>
      </w:tr>
      <w:tr>
        <w:tblPrEx>
          <w:tblCellMar>
            <w:top w:w="0" w:type="dxa"/>
            <w:left w:w="108" w:type="dxa"/>
            <w:bottom w:w="0" w:type="dxa"/>
            <w:right w:w="108" w:type="dxa"/>
          </w:tblCellMar>
        </w:tblPrEx>
        <w:trPr>
          <w:trHeight w:val="610" w:hRule="atLeast"/>
        </w:trPr>
        <w:tc>
          <w:tcPr>
            <w:tcW w:w="1397" w:type="dxa"/>
            <w:tcBorders>
              <w:top w:val="nil"/>
              <w:left w:val="single" w:color="000000" w:sz="4" w:space="0"/>
              <w:bottom w:val="single" w:color="000000" w:sz="4" w:space="0"/>
              <w:right w:val="single" w:color="000000" w:sz="4" w:space="0"/>
            </w:tcBorders>
            <w:shd w:val="clear" w:color="auto" w:fill="BEBEBE" w:themeFill="background1" w:themeFillShade="BF"/>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功能分类科目编码</w:t>
            </w:r>
          </w:p>
        </w:tc>
        <w:tc>
          <w:tcPr>
            <w:tcW w:w="3124"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科目名称</w:t>
            </w:r>
          </w:p>
        </w:tc>
        <w:tc>
          <w:tcPr>
            <w:tcW w:w="142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42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42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263"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41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276"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255" w:hRule="atLeast"/>
        </w:trPr>
        <w:tc>
          <w:tcPr>
            <w:tcW w:w="4521"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栏次</w:t>
            </w:r>
          </w:p>
        </w:tc>
        <w:tc>
          <w:tcPr>
            <w:tcW w:w="142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1</w:t>
            </w:r>
          </w:p>
        </w:tc>
        <w:tc>
          <w:tcPr>
            <w:tcW w:w="142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2</w:t>
            </w:r>
          </w:p>
        </w:tc>
        <w:tc>
          <w:tcPr>
            <w:tcW w:w="142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3</w:t>
            </w:r>
          </w:p>
        </w:tc>
        <w:tc>
          <w:tcPr>
            <w:tcW w:w="1263"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4</w:t>
            </w:r>
          </w:p>
        </w:tc>
        <w:tc>
          <w:tcPr>
            <w:tcW w:w="1418"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5</w:t>
            </w:r>
          </w:p>
        </w:tc>
        <w:tc>
          <w:tcPr>
            <w:tcW w:w="141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6</w:t>
            </w:r>
          </w:p>
        </w:tc>
        <w:tc>
          <w:tcPr>
            <w:tcW w:w="1276"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7</w:t>
            </w:r>
          </w:p>
        </w:tc>
      </w:tr>
      <w:tr>
        <w:tblPrEx>
          <w:tblCellMar>
            <w:top w:w="0" w:type="dxa"/>
            <w:left w:w="108" w:type="dxa"/>
            <w:bottom w:w="0" w:type="dxa"/>
            <w:right w:w="108" w:type="dxa"/>
          </w:tblCellMar>
        </w:tblPrEx>
        <w:trPr>
          <w:trHeight w:val="255" w:hRule="atLeast"/>
        </w:trPr>
        <w:tc>
          <w:tcPr>
            <w:tcW w:w="4521"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合计</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b/>
                <w:bCs/>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b/>
                <w:bCs/>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201</w:t>
            </w: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一般公共服务支出</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20134</w:t>
            </w: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统战事务</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2013404</w:t>
            </w: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 xml:space="preserve">  宗教事务</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20.00</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20.00</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2013450</w:t>
            </w: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rPr>
                <w:rFonts w:ascii="宋体" w:hAnsi="宋体" w:eastAsia="宋体"/>
                <w:color w:val="000000"/>
                <w:kern w:val="0"/>
                <w:sz w:val="22"/>
              </w:rPr>
            </w:pPr>
            <w:r>
              <w:rPr>
                <w:rFonts w:hint="eastAsia" w:ascii="宋体" w:hAnsi="宋体" w:eastAsia="宋体" w:cs="Arial"/>
                <w:color w:val="000000"/>
                <w:sz w:val="22"/>
              </w:rPr>
              <w:t xml:space="preserve">  事业运行</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43.23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43.23</w:t>
            </w: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124"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42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63"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ascii="Times New Roman" w:hAnsi="Times New Roman" w:eastAsia="黑体"/>
                <w:color w:val="000000"/>
                <w:kern w:val="0"/>
                <w:sz w:val="22"/>
              </w:rPr>
              <w:t>　</w:t>
            </w:r>
          </w:p>
        </w:tc>
      </w:tr>
      <w:tr>
        <w:tblPrEx>
          <w:tblCellMar>
            <w:top w:w="0" w:type="dxa"/>
            <w:left w:w="108" w:type="dxa"/>
            <w:bottom w:w="0" w:type="dxa"/>
            <w:right w:w="108" w:type="dxa"/>
          </w:tblCellMar>
        </w:tblPrEx>
        <w:trPr>
          <w:trHeight w:val="255" w:hRule="atLeast"/>
        </w:trPr>
        <w:tc>
          <w:tcPr>
            <w:tcW w:w="14176" w:type="dxa"/>
            <w:gridSpan w:val="9"/>
            <w:tcBorders>
              <w:top w:val="nil"/>
              <w:left w:val="nil"/>
              <w:bottom w:val="nil"/>
              <w:right w:val="nil"/>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olor w:val="000000"/>
                <w:kern w:val="0"/>
                <w:sz w:val="22"/>
              </w:rPr>
              <w:t>注：本表反映部门本年度取得的各项收入情况。</w:t>
            </w:r>
          </w:p>
        </w:tc>
      </w:tr>
    </w:tbl>
    <w:p>
      <w:pPr>
        <w:spacing w:line="500" w:lineRule="exact"/>
        <w:jc w:val="center"/>
        <w:rPr>
          <w:rFonts w:ascii="Times New Roman" w:hAnsi="Times New Roman" w:eastAsia="方正小标宋简体"/>
          <w:sz w:val="44"/>
          <w:szCs w:val="44"/>
        </w:rPr>
      </w:pPr>
      <w:r>
        <w:rPr>
          <w:rFonts w:ascii="Times New Roman" w:hAnsi="Times New Roman"/>
        </w:rPr>
        <w:br w:type="page"/>
      </w:r>
      <w:r>
        <w:rPr>
          <w:rFonts w:ascii="Times New Roman" w:hAnsi="Times New Roman" w:eastAsia="方正小标宋简体"/>
          <w:color w:val="000000"/>
          <w:kern w:val="0"/>
          <w:sz w:val="44"/>
          <w:szCs w:val="44"/>
        </w:rPr>
        <w:t>支出决算表</w:t>
      </w:r>
    </w:p>
    <w:tbl>
      <w:tblPr>
        <w:tblStyle w:val="6"/>
        <w:tblW w:w="14175" w:type="dxa"/>
        <w:jc w:val="center"/>
        <w:tblLayout w:type="fixed"/>
        <w:tblCellMar>
          <w:top w:w="0" w:type="dxa"/>
          <w:left w:w="108" w:type="dxa"/>
          <w:bottom w:w="0" w:type="dxa"/>
          <w:right w:w="108" w:type="dxa"/>
        </w:tblCellMar>
      </w:tblPr>
      <w:tblGrid>
        <w:gridCol w:w="4430"/>
        <w:gridCol w:w="1625"/>
        <w:gridCol w:w="1624"/>
        <w:gridCol w:w="1624"/>
        <w:gridCol w:w="1624"/>
        <w:gridCol w:w="1350"/>
        <w:gridCol w:w="1898"/>
      </w:tblGrid>
      <w:tr>
        <w:tblPrEx>
          <w:tblCellMar>
            <w:top w:w="0" w:type="dxa"/>
            <w:left w:w="108" w:type="dxa"/>
            <w:bottom w:w="0" w:type="dxa"/>
            <w:right w:w="108" w:type="dxa"/>
          </w:tblCellMar>
        </w:tblPrEx>
        <w:trPr>
          <w:trHeight w:val="255" w:hRule="atLeast"/>
          <w:jc w:val="center"/>
        </w:trPr>
        <w:tc>
          <w:tcPr>
            <w:tcW w:w="443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1625"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624"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624"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624"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35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98" w:type="dxa"/>
            <w:tcBorders>
              <w:top w:val="nil"/>
              <w:left w:val="nil"/>
              <w:bottom w:val="nil"/>
              <w:right w:val="nil"/>
            </w:tcBorders>
            <w:noWrap/>
            <w:vAlign w:val="bottom"/>
          </w:tcPr>
          <w:p>
            <w:pPr>
              <w:widowControl/>
              <w:spacing w:line="30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公开03表</w:t>
            </w:r>
          </w:p>
          <w:p>
            <w:pPr>
              <w:widowControl/>
              <w:spacing w:line="30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6" w:type="dxa"/>
        <w:tblInd w:w="-318" w:type="dxa"/>
        <w:tblLayout w:type="autofit"/>
        <w:tblCellMar>
          <w:top w:w="0" w:type="dxa"/>
          <w:left w:w="108" w:type="dxa"/>
          <w:bottom w:w="0" w:type="dxa"/>
          <w:right w:w="108" w:type="dxa"/>
        </w:tblCellMar>
      </w:tblPr>
      <w:tblGrid>
        <w:gridCol w:w="1397"/>
        <w:gridCol w:w="3452"/>
        <w:gridCol w:w="1577"/>
        <w:gridCol w:w="1577"/>
        <w:gridCol w:w="1577"/>
        <w:gridCol w:w="1577"/>
        <w:gridCol w:w="1577"/>
        <w:gridCol w:w="1442"/>
      </w:tblGrid>
      <w:tr>
        <w:tblPrEx>
          <w:tblCellMar>
            <w:top w:w="0" w:type="dxa"/>
            <w:left w:w="108" w:type="dxa"/>
            <w:bottom w:w="0" w:type="dxa"/>
            <w:right w:w="108" w:type="dxa"/>
          </w:tblCellMar>
        </w:tblPrEx>
        <w:trPr>
          <w:trHeight w:val="280" w:hRule="atLeast"/>
        </w:trPr>
        <w:tc>
          <w:tcPr>
            <w:tcW w:w="4849"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项目</w:t>
            </w:r>
          </w:p>
        </w:tc>
        <w:tc>
          <w:tcPr>
            <w:tcW w:w="157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本年支出合计</w:t>
            </w:r>
          </w:p>
        </w:tc>
        <w:tc>
          <w:tcPr>
            <w:tcW w:w="157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基本支出</w:t>
            </w:r>
          </w:p>
        </w:tc>
        <w:tc>
          <w:tcPr>
            <w:tcW w:w="157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项目支出</w:t>
            </w:r>
          </w:p>
        </w:tc>
        <w:tc>
          <w:tcPr>
            <w:tcW w:w="157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上缴上级支出</w:t>
            </w:r>
          </w:p>
        </w:tc>
        <w:tc>
          <w:tcPr>
            <w:tcW w:w="157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经营支出</w:t>
            </w:r>
          </w:p>
        </w:tc>
        <w:tc>
          <w:tcPr>
            <w:tcW w:w="1442"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对附属单位补助支出</w:t>
            </w:r>
          </w:p>
        </w:tc>
      </w:tr>
      <w:tr>
        <w:tblPrEx>
          <w:tblCellMar>
            <w:top w:w="0" w:type="dxa"/>
            <w:left w:w="108" w:type="dxa"/>
            <w:bottom w:w="0" w:type="dxa"/>
            <w:right w:w="108" w:type="dxa"/>
          </w:tblCellMar>
        </w:tblPrEx>
        <w:trPr>
          <w:trHeight w:val="610" w:hRule="atLeast"/>
        </w:trPr>
        <w:tc>
          <w:tcPr>
            <w:tcW w:w="1397" w:type="dxa"/>
            <w:tcBorders>
              <w:top w:val="nil"/>
              <w:left w:val="single" w:color="000000" w:sz="4" w:space="0"/>
              <w:bottom w:val="single" w:color="000000" w:sz="4" w:space="0"/>
              <w:right w:val="single" w:color="000000" w:sz="4" w:space="0"/>
            </w:tcBorders>
            <w:shd w:val="clear" w:color="auto" w:fill="BEBEBE" w:themeFill="background1" w:themeFillShade="BF"/>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功能分类科目编码</w:t>
            </w:r>
          </w:p>
        </w:tc>
        <w:tc>
          <w:tcPr>
            <w:tcW w:w="3452"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科目名称</w:t>
            </w:r>
          </w:p>
        </w:tc>
        <w:tc>
          <w:tcPr>
            <w:tcW w:w="157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57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57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57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577"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c>
          <w:tcPr>
            <w:tcW w:w="1442" w:type="dxa"/>
            <w:vMerge w:val="continue"/>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280" w:hRule="atLeast"/>
        </w:trPr>
        <w:tc>
          <w:tcPr>
            <w:tcW w:w="4849"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栏次</w:t>
            </w:r>
          </w:p>
        </w:tc>
        <w:tc>
          <w:tcPr>
            <w:tcW w:w="157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1</w:t>
            </w:r>
          </w:p>
        </w:tc>
        <w:tc>
          <w:tcPr>
            <w:tcW w:w="157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2</w:t>
            </w:r>
          </w:p>
        </w:tc>
        <w:tc>
          <w:tcPr>
            <w:tcW w:w="157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3</w:t>
            </w:r>
          </w:p>
        </w:tc>
        <w:tc>
          <w:tcPr>
            <w:tcW w:w="157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4</w:t>
            </w:r>
          </w:p>
        </w:tc>
        <w:tc>
          <w:tcPr>
            <w:tcW w:w="1577"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5</w:t>
            </w:r>
          </w:p>
        </w:tc>
        <w:tc>
          <w:tcPr>
            <w:tcW w:w="1442" w:type="dxa"/>
            <w:tcBorders>
              <w:top w:val="nil"/>
              <w:left w:val="nil"/>
              <w:bottom w:val="single" w:color="000000" w:sz="4" w:space="0"/>
              <w:right w:val="single" w:color="000000" w:sz="4" w:space="0"/>
            </w:tcBorders>
            <w:shd w:val="clear" w:color="FFFFFF" w:fill="C0C0C0"/>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6</w:t>
            </w:r>
          </w:p>
        </w:tc>
      </w:tr>
      <w:tr>
        <w:tblPrEx>
          <w:tblCellMar>
            <w:top w:w="0" w:type="dxa"/>
            <w:left w:w="108" w:type="dxa"/>
            <w:bottom w:w="0" w:type="dxa"/>
            <w:right w:w="108" w:type="dxa"/>
          </w:tblCellMar>
        </w:tblPrEx>
        <w:trPr>
          <w:trHeight w:val="280" w:hRule="atLeast"/>
        </w:trPr>
        <w:tc>
          <w:tcPr>
            <w:tcW w:w="4849"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2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合计</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b/>
                <w:bCs/>
                <w:color w:val="000000"/>
                <w:sz w:val="22"/>
              </w:rPr>
              <w:t>63.23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b/>
                <w:bCs/>
                <w:color w:val="000000"/>
                <w:sz w:val="22"/>
              </w:rPr>
              <w:t>39.23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b/>
                <w:bCs/>
                <w:color w:val="000000"/>
                <w:sz w:val="22"/>
              </w:rPr>
              <w:t>24.00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201</w:t>
            </w: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一般公共服务支出</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39.23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24.00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20134</w:t>
            </w: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统战事务</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63.23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39.23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24.00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2013404</w:t>
            </w: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 xml:space="preserve">  宗教事务</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20.00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20.00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2013450</w:t>
            </w: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s="Arial"/>
                <w:color w:val="000000"/>
                <w:sz w:val="22"/>
              </w:rPr>
              <w:t xml:space="preserve">  事业运行</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43.23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39.23</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cs="Arial"/>
                <w:color w:val="000000"/>
                <w:sz w:val="22"/>
              </w:rPr>
              <w:t>4.00</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39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345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left"/>
              <w:rPr>
                <w:rFonts w:ascii="宋体" w:hAnsi="宋体" w:eastAsia="宋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577"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c>
          <w:tcPr>
            <w:tcW w:w="1442" w:type="dxa"/>
            <w:tcBorders>
              <w:top w:val="nil"/>
              <w:left w:val="nil"/>
              <w:bottom w:val="single" w:color="000000" w:sz="4" w:space="0"/>
              <w:right w:val="single" w:color="000000" w:sz="4" w:space="0"/>
            </w:tcBorders>
            <w:shd w:val="clear" w:color="auto" w:fill="auto"/>
            <w:noWrap/>
            <w:vAlign w:val="center"/>
          </w:tcPr>
          <w:p>
            <w:pPr>
              <w:widowControl/>
              <w:spacing w:line="320" w:lineRule="exact"/>
              <w:jc w:val="right"/>
              <w:rPr>
                <w:rFonts w:ascii="Times New Roman" w:hAnsi="Times New Roman" w:eastAsia="黑体"/>
                <w:color w:val="000000"/>
                <w:kern w:val="0"/>
                <w:sz w:val="22"/>
              </w:rPr>
            </w:pPr>
            <w:r>
              <w:rPr>
                <w:rFonts w:hint="eastAsia" w:ascii="Times New Roman" w:hAnsi="Times New Roman" w:eastAsia="黑体"/>
                <w:color w:val="000000"/>
                <w:kern w:val="0"/>
                <w:sz w:val="22"/>
              </w:rPr>
              <w:t>　</w:t>
            </w:r>
          </w:p>
        </w:tc>
      </w:tr>
      <w:tr>
        <w:tblPrEx>
          <w:tblCellMar>
            <w:top w:w="0" w:type="dxa"/>
            <w:left w:w="108" w:type="dxa"/>
            <w:bottom w:w="0" w:type="dxa"/>
            <w:right w:w="108" w:type="dxa"/>
          </w:tblCellMar>
        </w:tblPrEx>
        <w:trPr>
          <w:trHeight w:val="280" w:hRule="atLeast"/>
        </w:trPr>
        <w:tc>
          <w:tcPr>
            <w:tcW w:w="14176" w:type="dxa"/>
            <w:gridSpan w:val="8"/>
            <w:tcBorders>
              <w:top w:val="nil"/>
              <w:left w:val="nil"/>
              <w:bottom w:val="nil"/>
              <w:right w:val="nil"/>
            </w:tcBorders>
            <w:shd w:val="clear" w:color="auto" w:fill="auto"/>
            <w:noWrap/>
            <w:vAlign w:val="center"/>
          </w:tcPr>
          <w:p>
            <w:pPr>
              <w:widowControl/>
              <w:spacing w:line="320" w:lineRule="exact"/>
              <w:jc w:val="left"/>
              <w:rPr>
                <w:rFonts w:ascii="宋体" w:hAnsi="宋体" w:eastAsia="宋体"/>
                <w:color w:val="000000"/>
                <w:kern w:val="0"/>
                <w:sz w:val="22"/>
              </w:rPr>
            </w:pPr>
            <w:r>
              <w:rPr>
                <w:rFonts w:hint="eastAsia" w:ascii="宋体" w:hAnsi="宋体" w:eastAsia="宋体"/>
                <w:color w:val="000000"/>
                <w:kern w:val="0"/>
                <w:sz w:val="22"/>
              </w:rPr>
              <w:t>注：本表反映部门本年度各项支出情况。</w:t>
            </w:r>
          </w:p>
        </w:tc>
      </w:tr>
    </w:tbl>
    <w:p>
      <w:pPr>
        <w:spacing w:line="590" w:lineRule="exact"/>
        <w:jc w:val="center"/>
        <w:rPr>
          <w:rFonts w:ascii="Times New Roman" w:hAnsi="Times New Roman" w:eastAsia="方正小标宋简体"/>
          <w:color w:val="000000"/>
          <w:kern w:val="0"/>
          <w:sz w:val="44"/>
          <w:szCs w:val="44"/>
        </w:rPr>
      </w:pPr>
      <w:r>
        <w:rPr>
          <w:rFonts w:ascii="Times New Roman" w:hAnsi="Times New Roman"/>
        </w:rPr>
        <w:br w:type="page"/>
      </w:r>
      <w:r>
        <w:rPr>
          <w:rFonts w:ascii="Times New Roman" w:hAnsi="Times New Roman" w:eastAsia="方正小标宋简体"/>
          <w:color w:val="000000"/>
          <w:kern w:val="0"/>
          <w:sz w:val="44"/>
          <w:szCs w:val="44"/>
        </w:rPr>
        <w:t>财政拨款收入支出决算总表</w:t>
      </w:r>
    </w:p>
    <w:tbl>
      <w:tblPr>
        <w:tblStyle w:val="6"/>
        <w:tblW w:w="14175" w:type="dxa"/>
        <w:jc w:val="center"/>
        <w:tblLayout w:type="fixed"/>
        <w:tblCellMar>
          <w:top w:w="0" w:type="dxa"/>
          <w:left w:w="108" w:type="dxa"/>
          <w:bottom w:w="0" w:type="dxa"/>
          <w:right w:w="108" w:type="dxa"/>
        </w:tblCellMar>
      </w:tblPr>
      <w:tblGrid>
        <w:gridCol w:w="4430"/>
        <w:gridCol w:w="1625"/>
        <w:gridCol w:w="1624"/>
        <w:gridCol w:w="1624"/>
        <w:gridCol w:w="1624"/>
        <w:gridCol w:w="1624"/>
        <w:gridCol w:w="1624"/>
      </w:tblGrid>
      <w:tr>
        <w:tblPrEx>
          <w:tblCellMar>
            <w:top w:w="0" w:type="dxa"/>
            <w:left w:w="108" w:type="dxa"/>
            <w:bottom w:w="0" w:type="dxa"/>
            <w:right w:w="108" w:type="dxa"/>
          </w:tblCellMar>
        </w:tblPrEx>
        <w:trPr>
          <w:trHeight w:val="255" w:hRule="atLeast"/>
          <w:jc w:val="center"/>
        </w:trPr>
        <w:tc>
          <w:tcPr>
            <w:tcW w:w="496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180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0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0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0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0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800" w:type="dxa"/>
            <w:tcBorders>
              <w:top w:val="nil"/>
              <w:left w:val="nil"/>
              <w:bottom w:val="nil"/>
              <w:right w:val="nil"/>
            </w:tcBorders>
            <w:noWrap/>
            <w:vAlign w:val="bottom"/>
          </w:tcPr>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公开04表</w:t>
            </w:r>
          </w:p>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5"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28" w:type="dxa"/>
          <w:bottom w:w="0" w:type="dxa"/>
          <w:right w:w="28" w:type="dxa"/>
        </w:tblCellMar>
      </w:tblPr>
      <w:tblGrid>
        <w:gridCol w:w="2788"/>
        <w:gridCol w:w="503"/>
        <w:gridCol w:w="1434"/>
        <w:gridCol w:w="3345"/>
        <w:gridCol w:w="567"/>
        <w:gridCol w:w="1135"/>
        <w:gridCol w:w="1434"/>
        <w:gridCol w:w="1434"/>
        <w:gridCol w:w="1535"/>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tblHeader/>
          <w:jc w:val="center"/>
        </w:trPr>
        <w:tc>
          <w:tcPr>
            <w:tcW w:w="4725" w:type="dxa"/>
            <w:gridSpan w:val="3"/>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收入</w:t>
            </w:r>
          </w:p>
        </w:tc>
        <w:tc>
          <w:tcPr>
            <w:tcW w:w="9450" w:type="dxa"/>
            <w:gridSpan w:val="6"/>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支出</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tblHeader/>
          <w:jc w:val="center"/>
        </w:trPr>
        <w:tc>
          <w:tcPr>
            <w:tcW w:w="2788" w:type="dxa"/>
            <w:vMerge w:val="restart"/>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w:t>
            </w:r>
          </w:p>
        </w:tc>
        <w:tc>
          <w:tcPr>
            <w:tcW w:w="503" w:type="dxa"/>
            <w:vMerge w:val="restart"/>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行次</w:t>
            </w:r>
          </w:p>
        </w:tc>
        <w:tc>
          <w:tcPr>
            <w:tcW w:w="1434" w:type="dxa"/>
            <w:vMerge w:val="restart"/>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金额</w:t>
            </w:r>
          </w:p>
        </w:tc>
        <w:tc>
          <w:tcPr>
            <w:tcW w:w="3345" w:type="dxa"/>
            <w:vMerge w:val="restart"/>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w:t>
            </w:r>
          </w:p>
        </w:tc>
        <w:tc>
          <w:tcPr>
            <w:tcW w:w="567" w:type="dxa"/>
            <w:vMerge w:val="restart"/>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行次</w:t>
            </w:r>
          </w:p>
        </w:tc>
        <w:tc>
          <w:tcPr>
            <w:tcW w:w="1135" w:type="dxa"/>
            <w:vMerge w:val="restart"/>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合计</w:t>
            </w:r>
          </w:p>
        </w:tc>
        <w:tc>
          <w:tcPr>
            <w:tcW w:w="1434" w:type="dxa"/>
            <w:vMerge w:val="restart"/>
            <w:shd w:val="clear" w:color="FFFFFF" w:fill="C0C0C0"/>
            <w:vAlign w:val="center"/>
          </w:tcPr>
          <w:p>
            <w:pPr>
              <w:widowControl/>
              <w:spacing w:line="24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一般公共预算财政拨款</w:t>
            </w:r>
          </w:p>
        </w:tc>
        <w:tc>
          <w:tcPr>
            <w:tcW w:w="1434" w:type="dxa"/>
            <w:vMerge w:val="restart"/>
            <w:shd w:val="clear" w:color="FFFFFF" w:fill="C0C0C0"/>
            <w:vAlign w:val="center"/>
          </w:tcPr>
          <w:p>
            <w:pPr>
              <w:widowControl/>
              <w:spacing w:line="24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政府性基金预算财政拨款</w:t>
            </w:r>
          </w:p>
        </w:tc>
        <w:tc>
          <w:tcPr>
            <w:tcW w:w="1535" w:type="dxa"/>
            <w:vMerge w:val="restart"/>
            <w:shd w:val="clear" w:color="FFFFFF" w:fill="C0C0C0"/>
            <w:vAlign w:val="center"/>
          </w:tcPr>
          <w:p>
            <w:pPr>
              <w:widowControl/>
              <w:spacing w:line="24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tblHeader/>
          <w:jc w:val="center"/>
        </w:trPr>
        <w:tc>
          <w:tcPr>
            <w:tcW w:w="2788" w:type="dxa"/>
            <w:vMerge w:val="continue"/>
            <w:vAlign w:val="center"/>
          </w:tcPr>
          <w:p>
            <w:pPr>
              <w:widowControl/>
              <w:spacing w:line="300" w:lineRule="exact"/>
              <w:jc w:val="left"/>
              <w:rPr>
                <w:rFonts w:ascii="Times New Roman" w:hAnsi="Times New Roman" w:eastAsia="黑体"/>
                <w:color w:val="000000"/>
                <w:kern w:val="0"/>
                <w:sz w:val="22"/>
              </w:rPr>
            </w:pPr>
          </w:p>
        </w:tc>
        <w:tc>
          <w:tcPr>
            <w:tcW w:w="503" w:type="dxa"/>
            <w:vMerge w:val="continue"/>
            <w:vAlign w:val="center"/>
          </w:tcPr>
          <w:p>
            <w:pPr>
              <w:widowControl/>
              <w:spacing w:line="300" w:lineRule="exact"/>
              <w:jc w:val="left"/>
              <w:rPr>
                <w:rFonts w:ascii="Times New Roman" w:hAnsi="Times New Roman" w:eastAsia="黑体"/>
                <w:color w:val="000000"/>
                <w:kern w:val="0"/>
                <w:sz w:val="22"/>
              </w:rPr>
            </w:pPr>
          </w:p>
        </w:tc>
        <w:tc>
          <w:tcPr>
            <w:tcW w:w="1434" w:type="dxa"/>
            <w:vMerge w:val="continue"/>
            <w:vAlign w:val="center"/>
          </w:tcPr>
          <w:p>
            <w:pPr>
              <w:widowControl/>
              <w:spacing w:line="300" w:lineRule="exact"/>
              <w:jc w:val="left"/>
              <w:rPr>
                <w:rFonts w:ascii="Times New Roman" w:hAnsi="Times New Roman" w:eastAsia="黑体"/>
                <w:color w:val="000000"/>
                <w:kern w:val="0"/>
                <w:sz w:val="22"/>
              </w:rPr>
            </w:pPr>
          </w:p>
        </w:tc>
        <w:tc>
          <w:tcPr>
            <w:tcW w:w="3345" w:type="dxa"/>
            <w:vMerge w:val="continue"/>
            <w:vAlign w:val="center"/>
          </w:tcPr>
          <w:p>
            <w:pPr>
              <w:widowControl/>
              <w:spacing w:line="300" w:lineRule="exact"/>
              <w:jc w:val="left"/>
              <w:rPr>
                <w:rFonts w:ascii="Times New Roman" w:hAnsi="Times New Roman" w:eastAsia="黑体"/>
                <w:color w:val="000000"/>
                <w:kern w:val="0"/>
                <w:sz w:val="22"/>
              </w:rPr>
            </w:pPr>
          </w:p>
        </w:tc>
        <w:tc>
          <w:tcPr>
            <w:tcW w:w="567" w:type="dxa"/>
            <w:vMerge w:val="continue"/>
            <w:vAlign w:val="center"/>
          </w:tcPr>
          <w:p>
            <w:pPr>
              <w:widowControl/>
              <w:spacing w:line="300" w:lineRule="exact"/>
              <w:jc w:val="left"/>
              <w:rPr>
                <w:rFonts w:ascii="Times New Roman" w:hAnsi="Times New Roman" w:eastAsia="黑体"/>
                <w:color w:val="000000"/>
                <w:kern w:val="0"/>
                <w:sz w:val="22"/>
              </w:rPr>
            </w:pPr>
          </w:p>
        </w:tc>
        <w:tc>
          <w:tcPr>
            <w:tcW w:w="1135" w:type="dxa"/>
            <w:vMerge w:val="continue"/>
            <w:vAlign w:val="center"/>
          </w:tcPr>
          <w:p>
            <w:pPr>
              <w:widowControl/>
              <w:spacing w:line="300" w:lineRule="exact"/>
              <w:jc w:val="left"/>
              <w:rPr>
                <w:rFonts w:ascii="Times New Roman" w:hAnsi="Times New Roman" w:eastAsia="黑体"/>
                <w:color w:val="000000"/>
                <w:kern w:val="0"/>
                <w:sz w:val="22"/>
              </w:rPr>
            </w:pPr>
          </w:p>
        </w:tc>
        <w:tc>
          <w:tcPr>
            <w:tcW w:w="1434" w:type="dxa"/>
            <w:vMerge w:val="continue"/>
            <w:vAlign w:val="center"/>
          </w:tcPr>
          <w:p>
            <w:pPr>
              <w:widowControl/>
              <w:spacing w:line="300" w:lineRule="exact"/>
              <w:jc w:val="left"/>
              <w:rPr>
                <w:rFonts w:ascii="Times New Roman" w:hAnsi="Times New Roman" w:eastAsia="黑体"/>
                <w:color w:val="000000"/>
                <w:kern w:val="0"/>
                <w:sz w:val="22"/>
              </w:rPr>
            </w:pPr>
          </w:p>
        </w:tc>
        <w:tc>
          <w:tcPr>
            <w:tcW w:w="1434" w:type="dxa"/>
            <w:vMerge w:val="continue"/>
            <w:vAlign w:val="center"/>
          </w:tcPr>
          <w:p>
            <w:pPr>
              <w:widowControl/>
              <w:spacing w:line="300" w:lineRule="exact"/>
              <w:jc w:val="left"/>
              <w:rPr>
                <w:rFonts w:ascii="Times New Roman" w:hAnsi="Times New Roman" w:eastAsia="黑体"/>
                <w:color w:val="000000"/>
                <w:kern w:val="0"/>
                <w:sz w:val="22"/>
              </w:rPr>
            </w:pPr>
          </w:p>
        </w:tc>
        <w:tc>
          <w:tcPr>
            <w:tcW w:w="1535" w:type="dxa"/>
            <w:vMerge w:val="continue"/>
            <w:vAlign w:val="center"/>
          </w:tcPr>
          <w:p>
            <w:pPr>
              <w:widowControl/>
              <w:spacing w:line="300" w:lineRule="exact"/>
              <w:jc w:val="left"/>
              <w:rPr>
                <w:rFonts w:ascii="Times New Roman" w:hAnsi="Times New Roman" w:eastAsia="黑体"/>
                <w:color w:val="000000"/>
                <w:kern w:val="0"/>
                <w:sz w:val="22"/>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tblHeader/>
          <w:jc w:val="center"/>
        </w:trPr>
        <w:tc>
          <w:tcPr>
            <w:tcW w:w="2788"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栏次</w:t>
            </w:r>
          </w:p>
        </w:tc>
        <w:tc>
          <w:tcPr>
            <w:tcW w:w="503"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434"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1</w:t>
            </w:r>
          </w:p>
        </w:tc>
        <w:tc>
          <w:tcPr>
            <w:tcW w:w="3345"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栏次</w:t>
            </w:r>
          </w:p>
        </w:tc>
        <w:tc>
          <w:tcPr>
            <w:tcW w:w="567"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　</w:t>
            </w:r>
          </w:p>
        </w:tc>
        <w:tc>
          <w:tcPr>
            <w:tcW w:w="1135"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2</w:t>
            </w:r>
          </w:p>
        </w:tc>
        <w:tc>
          <w:tcPr>
            <w:tcW w:w="1434"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3</w:t>
            </w:r>
          </w:p>
        </w:tc>
        <w:tc>
          <w:tcPr>
            <w:tcW w:w="1434"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4</w:t>
            </w:r>
          </w:p>
        </w:tc>
        <w:tc>
          <w:tcPr>
            <w:tcW w:w="1535" w:type="dxa"/>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一、一般公共预算财政拨款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cs="Arial"/>
                <w:color w:val="000000"/>
                <w:sz w:val="22"/>
              </w:rPr>
              <w:t>63.23</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一、一般公共服务支出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33</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二、政府性基金预算财政拨款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二、外交支出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34</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三、国有资本经营财政拨款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三、国防支出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35</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四、公共安全支出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36</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五、教育支出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37</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六、科学技术支出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38</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7</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七、文化旅游体育与传媒支出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39</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8</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八、社会保障和就业支出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40</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9</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九、卫生健康支出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41</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10</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十、节能环保支出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42</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11</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十一、城乡社区支出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43</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12</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十二、农林水支出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44</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13</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十三、交通运输支出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45</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14</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十四、资源勘探工业信息等支出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46</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15</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十五、商业服务业等支出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47</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16</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十六、金融支出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48</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17</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十七、援助其他地区支出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49</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18</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十八、自然资源海洋气象等支出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50</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19</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十九、住房保障支出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51</w:t>
            </w:r>
          </w:p>
        </w:tc>
        <w:tc>
          <w:tcPr>
            <w:tcW w:w="1135"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20</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二十、粮油物资储备支出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52</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21</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二十一、国有资本经营预算支出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53</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22</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二十二、灾害防治及应急管理支出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54</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23</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二十三、其他支出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55</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center"/>
              <w:rPr>
                <w:rFonts w:ascii="Times New Roman" w:hAnsi="Times New Roman" w:eastAsia="宋体"/>
                <w:b/>
                <w:bCs/>
                <w:color w:val="000000"/>
                <w:kern w:val="0"/>
                <w:sz w:val="20"/>
                <w:szCs w:val="20"/>
              </w:rPr>
            </w:pPr>
            <w:r>
              <w:rPr>
                <w:rFonts w:ascii="Times New Roman" w:hAnsi="Times New Roman" w:eastAsia="宋体"/>
                <w:b/>
                <w:bCs/>
                <w:color w:val="000000"/>
                <w:kern w:val="0"/>
                <w:sz w:val="20"/>
                <w:szCs w:val="20"/>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24</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二十四、债务还本支出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56</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25</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二十五、债务付息支出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57</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26</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二十六、抗疫特别国债安排的支出</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58</w:t>
            </w:r>
          </w:p>
        </w:tc>
        <w:tc>
          <w:tcPr>
            <w:tcW w:w="11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center"/>
              <w:rPr>
                <w:rFonts w:ascii="Times New Roman" w:hAnsi="Times New Roman" w:eastAsia="宋体"/>
                <w:b/>
                <w:bCs/>
                <w:color w:val="000000"/>
                <w:kern w:val="0"/>
                <w:sz w:val="22"/>
              </w:rPr>
            </w:pPr>
            <w:r>
              <w:rPr>
                <w:rFonts w:ascii="Times New Roman" w:hAnsi="Times New Roman" w:eastAsia="宋体"/>
                <w:b/>
                <w:bCs/>
                <w:color w:val="000000"/>
                <w:kern w:val="0"/>
                <w:sz w:val="22"/>
              </w:rPr>
              <w:t>本年收入合计</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27</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cs="Arial"/>
                <w:color w:val="000000"/>
                <w:sz w:val="22"/>
              </w:rPr>
              <w:t>63.23</w:t>
            </w:r>
          </w:p>
        </w:tc>
        <w:tc>
          <w:tcPr>
            <w:tcW w:w="3345" w:type="dxa"/>
            <w:shd w:val="clear" w:color="FFFFFF" w:fill="C0C0C0"/>
            <w:noWrap/>
            <w:vAlign w:val="center"/>
          </w:tcPr>
          <w:p>
            <w:pPr>
              <w:widowControl/>
              <w:spacing w:line="300" w:lineRule="exact"/>
              <w:jc w:val="center"/>
              <w:rPr>
                <w:rFonts w:ascii="Times New Roman" w:hAnsi="Times New Roman" w:eastAsia="宋体"/>
                <w:b/>
                <w:bCs/>
                <w:color w:val="000000"/>
                <w:kern w:val="0"/>
                <w:sz w:val="22"/>
              </w:rPr>
            </w:pPr>
            <w:r>
              <w:rPr>
                <w:rFonts w:ascii="Times New Roman" w:hAnsi="Times New Roman" w:eastAsia="宋体"/>
                <w:b/>
                <w:bCs/>
                <w:color w:val="000000"/>
                <w:kern w:val="0"/>
                <w:sz w:val="22"/>
              </w:rPr>
              <w:t>本年支出合计</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59</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年初财政拨款结转和结余</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28</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年末财政拨款结转和结余</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60</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一般公共预算财政拨款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29</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61</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政府性基金预算财政拨款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30</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62</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国</w:t>
            </w:r>
            <w:r>
              <w:rPr>
                <w:rFonts w:ascii="Times New Roman" w:hAnsi="Times New Roman" w:eastAsia="宋体"/>
                <w:color w:val="000000"/>
                <w:spacing w:val="-6"/>
                <w:kern w:val="0"/>
                <w:sz w:val="22"/>
              </w:rPr>
              <w:t>有资本经营预算财政拨款</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31</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3345" w:type="dxa"/>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63</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2788" w:type="dxa"/>
            <w:shd w:val="clear" w:color="FFFFFF" w:fill="C0C0C0"/>
            <w:noWrap/>
            <w:vAlign w:val="center"/>
          </w:tcPr>
          <w:p>
            <w:pPr>
              <w:widowControl/>
              <w:spacing w:line="300" w:lineRule="exact"/>
              <w:jc w:val="center"/>
              <w:rPr>
                <w:rFonts w:ascii="Times New Roman" w:hAnsi="Times New Roman" w:eastAsia="宋体"/>
                <w:b/>
                <w:bCs/>
                <w:color w:val="000000"/>
                <w:kern w:val="0"/>
                <w:sz w:val="22"/>
              </w:rPr>
            </w:pPr>
            <w:r>
              <w:rPr>
                <w:rFonts w:ascii="Times New Roman" w:hAnsi="Times New Roman" w:eastAsia="宋体"/>
                <w:b/>
                <w:bCs/>
                <w:color w:val="000000"/>
                <w:kern w:val="0"/>
                <w:sz w:val="22"/>
              </w:rPr>
              <w:t>总计</w:t>
            </w:r>
          </w:p>
        </w:tc>
        <w:tc>
          <w:tcPr>
            <w:tcW w:w="503"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32</w:t>
            </w:r>
          </w:p>
        </w:tc>
        <w:tc>
          <w:tcPr>
            <w:tcW w:w="1434" w:type="dxa"/>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cs="Arial"/>
                <w:color w:val="000000"/>
                <w:sz w:val="22"/>
              </w:rPr>
              <w:t>63.23</w:t>
            </w:r>
          </w:p>
        </w:tc>
        <w:tc>
          <w:tcPr>
            <w:tcW w:w="3345" w:type="dxa"/>
            <w:shd w:val="clear" w:color="FFFFFF" w:fill="C0C0C0"/>
            <w:noWrap/>
            <w:vAlign w:val="center"/>
          </w:tcPr>
          <w:p>
            <w:pPr>
              <w:widowControl/>
              <w:spacing w:line="300" w:lineRule="exact"/>
              <w:jc w:val="center"/>
              <w:rPr>
                <w:rFonts w:ascii="Times New Roman" w:hAnsi="Times New Roman" w:eastAsia="宋体"/>
                <w:b/>
                <w:bCs/>
                <w:color w:val="000000"/>
                <w:kern w:val="0"/>
                <w:sz w:val="22"/>
              </w:rPr>
            </w:pPr>
            <w:r>
              <w:rPr>
                <w:rFonts w:ascii="Times New Roman" w:hAnsi="Times New Roman" w:eastAsia="宋体"/>
                <w:b/>
                <w:bCs/>
                <w:color w:val="000000"/>
                <w:kern w:val="0"/>
                <w:sz w:val="22"/>
              </w:rPr>
              <w:t>总计</w:t>
            </w:r>
          </w:p>
        </w:tc>
        <w:tc>
          <w:tcPr>
            <w:tcW w:w="567" w:type="dxa"/>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64</w:t>
            </w:r>
          </w:p>
        </w:tc>
        <w:tc>
          <w:tcPr>
            <w:tcW w:w="1135"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63.23</w:t>
            </w:r>
          </w:p>
        </w:tc>
        <w:tc>
          <w:tcPr>
            <w:tcW w:w="1434"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1535" w:type="dxa"/>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bl>
    <w:p>
      <w:pPr>
        <w:widowControl/>
        <w:tabs>
          <w:tab w:val="left" w:pos="12640"/>
        </w:tabs>
        <w:spacing w:line="300" w:lineRule="exact"/>
        <w:jc w:val="left"/>
        <w:rPr>
          <w:rFonts w:ascii="Times New Roman" w:hAnsi="Times New Roman" w:eastAsia="宋体"/>
          <w:color w:val="000000"/>
          <w:kern w:val="0"/>
          <w:sz w:val="20"/>
          <w:szCs w:val="20"/>
        </w:rPr>
      </w:pPr>
      <w:r>
        <w:rPr>
          <w:rFonts w:ascii="Times New Roman" w:hAnsi="Times New Roman" w:eastAsia="宋体"/>
          <w:color w:val="000000"/>
          <w:spacing w:val="-12"/>
          <w:kern w:val="0"/>
          <w:sz w:val="22"/>
        </w:rPr>
        <w:t>注：本表反映部门本年度一般公共预算财政拨款、政府性基金预算财政拨款和国有资本经营预算财政拨款的总收支和年末结转结余情况。</w:t>
      </w:r>
    </w:p>
    <w:p>
      <w:pPr>
        <w:widowControl/>
        <w:tabs>
          <w:tab w:val="left" w:pos="433"/>
          <w:tab w:val="left" w:pos="773"/>
          <w:tab w:val="left" w:pos="1113"/>
          <w:tab w:val="left" w:pos="5053"/>
          <w:tab w:val="left" w:pos="7313"/>
          <w:tab w:val="left" w:pos="9573"/>
        </w:tabs>
        <w:spacing w:line="500" w:lineRule="exact"/>
        <w:ind w:left="91"/>
        <w:jc w:val="center"/>
        <w:rPr>
          <w:rFonts w:ascii="Times New Roman" w:hAnsi="Times New Roman" w:eastAsia="方正小标宋简体"/>
          <w:color w:val="000000"/>
          <w:kern w:val="0"/>
          <w:sz w:val="44"/>
          <w:szCs w:val="44"/>
        </w:rPr>
      </w:pPr>
    </w:p>
    <w:p>
      <w:pPr>
        <w:widowControl/>
        <w:tabs>
          <w:tab w:val="left" w:pos="433"/>
          <w:tab w:val="left" w:pos="773"/>
          <w:tab w:val="left" w:pos="1113"/>
          <w:tab w:val="left" w:pos="5053"/>
          <w:tab w:val="left" w:pos="7313"/>
          <w:tab w:val="left" w:pos="9573"/>
        </w:tabs>
        <w:spacing w:line="500" w:lineRule="exact"/>
        <w:ind w:left="91"/>
        <w:jc w:val="center"/>
        <w:rPr>
          <w:rFonts w:ascii="Times New Roman" w:hAnsi="Times New Roman" w:eastAsia="方正小标宋简体"/>
          <w:color w:val="000000"/>
          <w:kern w:val="0"/>
          <w:sz w:val="44"/>
          <w:szCs w:val="44"/>
        </w:rPr>
      </w:pPr>
      <w:r>
        <w:rPr>
          <w:rFonts w:ascii="Times New Roman" w:hAnsi="Times New Roman" w:eastAsia="方正小标宋简体"/>
          <w:color w:val="000000"/>
          <w:kern w:val="0"/>
          <w:sz w:val="44"/>
          <w:szCs w:val="44"/>
        </w:rPr>
        <w:t>一般公共预算财政拨款支出决算表</w:t>
      </w:r>
    </w:p>
    <w:tbl>
      <w:tblPr>
        <w:tblStyle w:val="6"/>
        <w:tblW w:w="14175" w:type="dxa"/>
        <w:jc w:val="center"/>
        <w:tblLayout w:type="autofit"/>
        <w:tblCellMar>
          <w:top w:w="0" w:type="dxa"/>
          <w:left w:w="108" w:type="dxa"/>
          <w:bottom w:w="0" w:type="dxa"/>
          <w:right w:w="108" w:type="dxa"/>
        </w:tblCellMar>
      </w:tblPr>
      <w:tblGrid>
        <w:gridCol w:w="5988"/>
        <w:gridCol w:w="2729"/>
        <w:gridCol w:w="2729"/>
        <w:gridCol w:w="2729"/>
      </w:tblGrid>
      <w:tr>
        <w:tblPrEx>
          <w:tblCellMar>
            <w:top w:w="0" w:type="dxa"/>
            <w:left w:w="108" w:type="dxa"/>
            <w:bottom w:w="0" w:type="dxa"/>
            <w:right w:w="108" w:type="dxa"/>
          </w:tblCellMar>
        </w:tblPrEx>
        <w:trPr>
          <w:trHeight w:val="255" w:hRule="atLeast"/>
          <w:jc w:val="center"/>
        </w:trPr>
        <w:tc>
          <w:tcPr>
            <w:tcW w:w="4960" w:type="dxa"/>
            <w:tcBorders>
              <w:top w:val="nil"/>
              <w:left w:val="nil"/>
              <w:bottom w:val="nil"/>
              <w:right w:val="nil"/>
            </w:tcBorders>
            <w:noWrap/>
            <w:vAlign w:val="bottom"/>
          </w:tcPr>
          <w:p>
            <w:pPr>
              <w:widowControl/>
              <w:spacing w:line="26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2260" w:type="dxa"/>
            <w:tcBorders>
              <w:top w:val="nil"/>
              <w:left w:val="nil"/>
              <w:bottom w:val="nil"/>
              <w:right w:val="nil"/>
            </w:tcBorders>
            <w:noWrap/>
            <w:vAlign w:val="bottom"/>
          </w:tcPr>
          <w:p>
            <w:pPr>
              <w:widowControl/>
              <w:spacing w:line="260" w:lineRule="exact"/>
              <w:jc w:val="left"/>
              <w:rPr>
                <w:rFonts w:ascii="Times New Roman" w:hAnsi="Times New Roman" w:eastAsia="宋体"/>
                <w:color w:val="000000"/>
                <w:kern w:val="0"/>
                <w:sz w:val="20"/>
                <w:szCs w:val="20"/>
              </w:rPr>
            </w:pPr>
          </w:p>
        </w:tc>
        <w:tc>
          <w:tcPr>
            <w:tcW w:w="2260" w:type="dxa"/>
            <w:tcBorders>
              <w:top w:val="nil"/>
              <w:left w:val="nil"/>
              <w:bottom w:val="nil"/>
              <w:right w:val="nil"/>
            </w:tcBorders>
            <w:noWrap/>
            <w:vAlign w:val="bottom"/>
          </w:tcPr>
          <w:p>
            <w:pPr>
              <w:widowControl/>
              <w:spacing w:line="260" w:lineRule="exact"/>
              <w:jc w:val="left"/>
              <w:rPr>
                <w:rFonts w:ascii="Times New Roman" w:hAnsi="Times New Roman" w:eastAsia="宋体"/>
                <w:color w:val="000000"/>
                <w:kern w:val="0"/>
                <w:sz w:val="20"/>
                <w:szCs w:val="20"/>
              </w:rPr>
            </w:pPr>
          </w:p>
        </w:tc>
        <w:tc>
          <w:tcPr>
            <w:tcW w:w="2260" w:type="dxa"/>
            <w:tcBorders>
              <w:top w:val="nil"/>
              <w:left w:val="nil"/>
              <w:bottom w:val="nil"/>
              <w:right w:val="nil"/>
            </w:tcBorders>
            <w:noWrap/>
            <w:vAlign w:val="bottom"/>
          </w:tcPr>
          <w:p>
            <w:pPr>
              <w:widowControl/>
              <w:spacing w:line="26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公开05表</w:t>
            </w:r>
          </w:p>
          <w:p>
            <w:pPr>
              <w:widowControl/>
              <w:spacing w:line="260" w:lineRule="exact"/>
              <w:ind w:right="200"/>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6" w:type="dxa"/>
        <w:tblInd w:w="-318" w:type="dxa"/>
        <w:tblLayout w:type="autofit"/>
        <w:tblCellMar>
          <w:top w:w="0" w:type="dxa"/>
          <w:left w:w="108" w:type="dxa"/>
          <w:bottom w:w="0" w:type="dxa"/>
          <w:right w:w="108" w:type="dxa"/>
        </w:tblCellMar>
      </w:tblPr>
      <w:tblGrid>
        <w:gridCol w:w="1702"/>
        <w:gridCol w:w="4394"/>
        <w:gridCol w:w="2694"/>
        <w:gridCol w:w="2693"/>
        <w:gridCol w:w="2693"/>
      </w:tblGrid>
      <w:tr>
        <w:tblPrEx>
          <w:tblCellMar>
            <w:top w:w="0" w:type="dxa"/>
            <w:left w:w="108" w:type="dxa"/>
            <w:bottom w:w="0" w:type="dxa"/>
            <w:right w:w="108" w:type="dxa"/>
          </w:tblCellMar>
        </w:tblPrEx>
        <w:trPr>
          <w:trHeight w:val="308" w:hRule="atLeast"/>
        </w:trPr>
        <w:tc>
          <w:tcPr>
            <w:tcW w:w="6096"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项目</w:t>
            </w:r>
          </w:p>
        </w:tc>
        <w:tc>
          <w:tcPr>
            <w:tcW w:w="8080"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本年支出</w:t>
            </w:r>
          </w:p>
        </w:tc>
      </w:tr>
      <w:tr>
        <w:tblPrEx>
          <w:tblCellMar>
            <w:top w:w="0" w:type="dxa"/>
            <w:left w:w="108" w:type="dxa"/>
            <w:bottom w:w="0" w:type="dxa"/>
            <w:right w:w="108" w:type="dxa"/>
          </w:tblCellMar>
        </w:tblPrEx>
        <w:trPr>
          <w:trHeight w:val="610" w:hRule="atLeast"/>
        </w:trPr>
        <w:tc>
          <w:tcPr>
            <w:tcW w:w="1702" w:type="dxa"/>
            <w:tcBorders>
              <w:top w:val="nil"/>
              <w:left w:val="single" w:color="000000" w:sz="4" w:space="0"/>
              <w:bottom w:val="single" w:color="000000" w:sz="4" w:space="0"/>
              <w:right w:val="single" w:color="000000" w:sz="4" w:space="0"/>
            </w:tcBorders>
            <w:shd w:val="clear" w:color="auto" w:fill="BEBEBE" w:themeFill="background1" w:themeFillShade="BF"/>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功能分类科目编码</w:t>
            </w:r>
          </w:p>
        </w:tc>
        <w:tc>
          <w:tcPr>
            <w:tcW w:w="4394"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科目名称</w:t>
            </w:r>
          </w:p>
        </w:tc>
        <w:tc>
          <w:tcPr>
            <w:tcW w:w="2694"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小计</w:t>
            </w:r>
          </w:p>
        </w:tc>
        <w:tc>
          <w:tcPr>
            <w:tcW w:w="2693"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基本支出</w:t>
            </w:r>
          </w:p>
        </w:tc>
        <w:tc>
          <w:tcPr>
            <w:tcW w:w="2693" w:type="dxa"/>
            <w:tcBorders>
              <w:top w:val="nil"/>
              <w:left w:val="nil"/>
              <w:bottom w:val="single" w:color="000000" w:sz="4" w:space="0"/>
              <w:right w:val="single" w:color="000000" w:sz="4" w:space="0"/>
            </w:tcBorders>
            <w:shd w:val="clear" w:color="auto" w:fill="BEBEBE" w:themeFill="background1" w:themeFillShade="BF"/>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项目支出</w:t>
            </w:r>
          </w:p>
        </w:tc>
      </w:tr>
      <w:tr>
        <w:tblPrEx>
          <w:tblCellMar>
            <w:top w:w="0" w:type="dxa"/>
            <w:left w:w="108" w:type="dxa"/>
            <w:bottom w:w="0" w:type="dxa"/>
            <w:right w:w="108" w:type="dxa"/>
          </w:tblCellMar>
        </w:tblPrEx>
        <w:trPr>
          <w:trHeight w:val="308" w:hRule="atLeast"/>
        </w:trPr>
        <w:tc>
          <w:tcPr>
            <w:tcW w:w="6096"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栏次</w:t>
            </w:r>
          </w:p>
        </w:tc>
        <w:tc>
          <w:tcPr>
            <w:tcW w:w="269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1</w:t>
            </w:r>
          </w:p>
        </w:tc>
        <w:tc>
          <w:tcPr>
            <w:tcW w:w="2693"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2</w:t>
            </w:r>
          </w:p>
        </w:tc>
        <w:tc>
          <w:tcPr>
            <w:tcW w:w="2693"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3</w:t>
            </w:r>
          </w:p>
        </w:tc>
      </w:tr>
      <w:tr>
        <w:tblPrEx>
          <w:tblCellMar>
            <w:top w:w="0" w:type="dxa"/>
            <w:left w:w="108" w:type="dxa"/>
            <w:bottom w:w="0" w:type="dxa"/>
            <w:right w:w="108" w:type="dxa"/>
          </w:tblCellMar>
        </w:tblPrEx>
        <w:trPr>
          <w:trHeight w:val="308" w:hRule="atLeast"/>
        </w:trPr>
        <w:tc>
          <w:tcPr>
            <w:tcW w:w="6096"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hint="eastAsia" w:ascii="Times New Roman" w:hAnsi="Times New Roman" w:eastAsia="黑体"/>
                <w:color w:val="000000"/>
                <w:kern w:val="0"/>
                <w:sz w:val="22"/>
              </w:rPr>
              <w:t>合计</w:t>
            </w: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b/>
                <w:bCs/>
                <w:color w:val="000000"/>
                <w:sz w:val="22"/>
              </w:rPr>
              <w:t>63.23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b/>
                <w:bCs/>
                <w:color w:val="000000"/>
                <w:sz w:val="22"/>
              </w:rPr>
              <w:t>39.23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b/>
                <w:bCs/>
                <w:color w:val="000000"/>
                <w:sz w:val="22"/>
              </w:rPr>
              <w:t>24.00</w:t>
            </w: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201</w:t>
            </w: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一般公共服务支出</w:t>
            </w: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63.23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39.23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24.00</w:t>
            </w: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20134</w:t>
            </w: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统战事务</w:t>
            </w: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63.23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39.23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24.00</w:t>
            </w: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2013404</w:t>
            </w: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 xml:space="preserve">  宗教事务</w:t>
            </w: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20.00</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　</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20.00</w:t>
            </w: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2013450</w:t>
            </w: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r>
              <w:rPr>
                <w:rFonts w:hint="eastAsia" w:ascii="宋体" w:hAnsi="宋体" w:eastAsia="宋体" w:cs="Arial"/>
                <w:color w:val="000000"/>
                <w:sz w:val="22"/>
              </w:rPr>
              <w:t xml:space="preserve">  事业运行</w:t>
            </w: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43.23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39.23</w:t>
            </w: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r>
              <w:rPr>
                <w:rFonts w:hint="eastAsia" w:cs="Arial"/>
                <w:color w:val="000000"/>
                <w:sz w:val="22"/>
              </w:rPr>
              <w:t>4.00</w:t>
            </w: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r>
        <w:tblPrEx>
          <w:tblCellMar>
            <w:top w:w="0" w:type="dxa"/>
            <w:left w:w="108" w:type="dxa"/>
            <w:bottom w:w="0" w:type="dxa"/>
            <w:right w:w="108" w:type="dxa"/>
          </w:tblCellMar>
        </w:tblPrEx>
        <w:trPr>
          <w:trHeight w:val="308" w:hRule="atLeast"/>
        </w:trPr>
        <w:tc>
          <w:tcPr>
            <w:tcW w:w="1702"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43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left"/>
              <w:rPr>
                <w:rFonts w:ascii="宋体" w:hAnsi="宋体" w:eastAsia="宋体"/>
                <w:color w:val="000000"/>
                <w:kern w:val="0"/>
                <w:sz w:val="22"/>
              </w:rPr>
            </w:pPr>
          </w:p>
        </w:tc>
        <w:tc>
          <w:tcPr>
            <w:tcW w:w="2694"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c>
          <w:tcPr>
            <w:tcW w:w="2693"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黑体"/>
                <w:color w:val="000000"/>
                <w:kern w:val="0"/>
                <w:sz w:val="22"/>
              </w:rPr>
            </w:pPr>
          </w:p>
        </w:tc>
      </w:tr>
    </w:tbl>
    <w:p>
      <w:pPr>
        <w:widowControl/>
        <w:spacing w:line="260" w:lineRule="exact"/>
        <w:jc w:val="left"/>
        <w:rPr>
          <w:rFonts w:ascii="Times New Roman" w:hAnsi="Times New Roman" w:eastAsia="宋体"/>
          <w:color w:val="000000"/>
          <w:kern w:val="0"/>
          <w:sz w:val="22"/>
        </w:rPr>
      </w:pPr>
      <w:r>
        <w:rPr>
          <w:rFonts w:ascii="Times New Roman" w:hAnsi="Times New Roman" w:eastAsia="宋体"/>
          <w:color w:val="000000"/>
          <w:kern w:val="0"/>
          <w:sz w:val="22"/>
        </w:rPr>
        <w:t>注：本表反映部门本年度一般公共预算财政拨款支出情况。</w:t>
      </w:r>
    </w:p>
    <w:p>
      <w:pPr>
        <w:spacing w:line="500" w:lineRule="exact"/>
        <w:jc w:val="center"/>
        <w:rPr>
          <w:rFonts w:ascii="Times New Roman" w:hAnsi="Times New Roman" w:eastAsia="方正小标宋简体"/>
          <w:sz w:val="44"/>
          <w:szCs w:val="44"/>
        </w:rPr>
      </w:pPr>
      <w:r>
        <w:rPr>
          <w:rFonts w:ascii="Times New Roman" w:hAnsi="Times New Roman"/>
        </w:rPr>
        <w:br w:type="page"/>
      </w:r>
      <w:r>
        <w:rPr>
          <w:rFonts w:ascii="Times New Roman" w:hAnsi="Times New Roman" w:eastAsia="方正小标宋简体"/>
          <w:color w:val="000000"/>
          <w:kern w:val="0"/>
          <w:sz w:val="44"/>
          <w:szCs w:val="44"/>
        </w:rPr>
        <w:t>一般公共预算财政拨款基本支出决算表</w:t>
      </w:r>
    </w:p>
    <w:tbl>
      <w:tblPr>
        <w:tblStyle w:val="6"/>
        <w:tblW w:w="14175" w:type="dxa"/>
        <w:jc w:val="center"/>
        <w:tblLayout w:type="fixed"/>
        <w:tblCellMar>
          <w:top w:w="0" w:type="dxa"/>
          <w:left w:w="28" w:type="dxa"/>
          <w:bottom w:w="0" w:type="dxa"/>
          <w:right w:w="28" w:type="dxa"/>
        </w:tblCellMar>
      </w:tblPr>
      <w:tblGrid>
        <w:gridCol w:w="4198"/>
        <w:gridCol w:w="460"/>
        <w:gridCol w:w="581"/>
        <w:gridCol w:w="2130"/>
        <w:gridCol w:w="1386"/>
        <w:gridCol w:w="581"/>
        <w:gridCol w:w="3453"/>
        <w:gridCol w:w="1386"/>
      </w:tblGrid>
      <w:tr>
        <w:tblPrEx>
          <w:tblCellMar>
            <w:top w:w="0" w:type="dxa"/>
            <w:left w:w="28" w:type="dxa"/>
            <w:bottom w:w="0" w:type="dxa"/>
            <w:right w:w="28" w:type="dxa"/>
          </w:tblCellMar>
        </w:tblPrEx>
        <w:trPr>
          <w:trHeight w:val="255" w:hRule="atLeast"/>
          <w:jc w:val="center"/>
        </w:trPr>
        <w:tc>
          <w:tcPr>
            <w:tcW w:w="4198"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460"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58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2130"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386"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581"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3453" w:type="dxa"/>
            <w:tcBorders>
              <w:top w:val="nil"/>
              <w:left w:val="nil"/>
              <w:bottom w:val="nil"/>
              <w:right w:val="nil"/>
            </w:tcBorders>
            <w:noWrap/>
            <w:vAlign w:val="bottom"/>
          </w:tcPr>
          <w:p>
            <w:pPr>
              <w:widowControl/>
              <w:spacing w:line="280" w:lineRule="exact"/>
              <w:jc w:val="left"/>
              <w:rPr>
                <w:rFonts w:ascii="Times New Roman" w:hAnsi="Times New Roman" w:eastAsia="宋体"/>
                <w:color w:val="000000"/>
                <w:kern w:val="0"/>
                <w:sz w:val="20"/>
                <w:szCs w:val="20"/>
              </w:rPr>
            </w:pPr>
          </w:p>
        </w:tc>
        <w:tc>
          <w:tcPr>
            <w:tcW w:w="1386" w:type="dxa"/>
            <w:tcBorders>
              <w:top w:val="nil"/>
              <w:left w:val="nil"/>
              <w:bottom w:val="nil"/>
              <w:right w:val="nil"/>
            </w:tcBorders>
            <w:noWrap/>
            <w:vAlign w:val="bottom"/>
          </w:tcPr>
          <w:p>
            <w:pPr>
              <w:widowControl/>
              <w:spacing w:line="280" w:lineRule="exact"/>
              <w:jc w:val="right"/>
              <w:rPr>
                <w:rFonts w:ascii="Times New Roman" w:hAnsi="Times New Roman" w:eastAsia="宋体"/>
                <w:color w:val="000000"/>
                <w:kern w:val="0"/>
                <w:sz w:val="18"/>
                <w:szCs w:val="18"/>
              </w:rPr>
            </w:pPr>
            <w:r>
              <w:rPr>
                <w:rFonts w:ascii="Times New Roman" w:hAnsi="Times New Roman" w:eastAsia="宋体"/>
                <w:color w:val="000000"/>
                <w:kern w:val="0"/>
                <w:sz w:val="18"/>
                <w:szCs w:val="18"/>
              </w:rPr>
              <w:t>公开06表</w:t>
            </w:r>
          </w:p>
          <w:p>
            <w:pPr>
              <w:widowControl/>
              <w:spacing w:line="280" w:lineRule="exact"/>
              <w:jc w:val="right"/>
              <w:rPr>
                <w:rFonts w:ascii="Times New Roman" w:hAnsi="Times New Roman" w:eastAsia="宋体"/>
                <w:color w:val="000000"/>
                <w:kern w:val="0"/>
                <w:sz w:val="18"/>
                <w:szCs w:val="18"/>
              </w:rPr>
            </w:pPr>
            <w:r>
              <w:rPr>
                <w:rFonts w:ascii="Times New Roman" w:hAnsi="Times New Roman" w:eastAsia="宋体"/>
                <w:color w:val="000000"/>
                <w:kern w:val="0"/>
                <w:sz w:val="18"/>
                <w:szCs w:val="18"/>
              </w:rPr>
              <w:t>金额单位：万元</w:t>
            </w:r>
          </w:p>
        </w:tc>
      </w:tr>
    </w:tbl>
    <w:p>
      <w:pPr>
        <w:spacing w:line="40" w:lineRule="exact"/>
        <w:rPr>
          <w:rFonts w:ascii="Times New Roman" w:hAnsi="Times New Roman"/>
        </w:rPr>
      </w:pPr>
    </w:p>
    <w:tbl>
      <w:tblPr>
        <w:tblStyle w:val="6"/>
        <w:tblW w:w="14175" w:type="dxa"/>
        <w:jc w:val="center"/>
        <w:tblLayout w:type="fixed"/>
        <w:tblCellMar>
          <w:top w:w="0" w:type="dxa"/>
          <w:left w:w="28" w:type="dxa"/>
          <w:bottom w:w="0" w:type="dxa"/>
          <w:right w:w="28" w:type="dxa"/>
        </w:tblCellMar>
      </w:tblPr>
      <w:tblGrid>
        <w:gridCol w:w="664"/>
        <w:gridCol w:w="2608"/>
        <w:gridCol w:w="1386"/>
        <w:gridCol w:w="724"/>
        <w:gridCol w:w="1987"/>
        <w:gridCol w:w="1386"/>
        <w:gridCol w:w="672"/>
        <w:gridCol w:w="3362"/>
        <w:gridCol w:w="1386"/>
      </w:tblGrid>
      <w:tr>
        <w:tblPrEx>
          <w:tblCellMar>
            <w:top w:w="0" w:type="dxa"/>
            <w:left w:w="28" w:type="dxa"/>
            <w:bottom w:w="0" w:type="dxa"/>
            <w:right w:w="28" w:type="dxa"/>
          </w:tblCellMar>
        </w:tblPrEx>
        <w:trPr>
          <w:trHeight w:val="397" w:hRule="atLeast"/>
          <w:tblHeader/>
          <w:jc w:val="center"/>
        </w:trPr>
        <w:tc>
          <w:tcPr>
            <w:tcW w:w="465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人员经费</w:t>
            </w:r>
          </w:p>
        </w:tc>
        <w:tc>
          <w:tcPr>
            <w:tcW w:w="9517" w:type="dxa"/>
            <w:gridSpan w:val="6"/>
            <w:tcBorders>
              <w:top w:val="single" w:color="000000" w:sz="4" w:space="0"/>
              <w:left w:val="nil"/>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公用经费</w:t>
            </w:r>
          </w:p>
        </w:tc>
      </w:tr>
      <w:tr>
        <w:tblPrEx>
          <w:tblCellMar>
            <w:top w:w="0" w:type="dxa"/>
            <w:left w:w="28" w:type="dxa"/>
            <w:bottom w:w="0" w:type="dxa"/>
            <w:right w:w="28" w:type="dxa"/>
          </w:tblCellMar>
        </w:tblPrEx>
        <w:trPr>
          <w:trHeight w:val="610" w:hRule="atLeast"/>
          <w:tblHeader/>
          <w:jc w:val="center"/>
        </w:trPr>
        <w:tc>
          <w:tcPr>
            <w:tcW w:w="664" w:type="dxa"/>
            <w:tcBorders>
              <w:top w:val="nil"/>
              <w:left w:val="single" w:color="000000" w:sz="4" w:space="0"/>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科目编码</w:t>
            </w:r>
          </w:p>
        </w:tc>
        <w:tc>
          <w:tcPr>
            <w:tcW w:w="2608"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科目名称</w:t>
            </w:r>
          </w:p>
        </w:tc>
        <w:tc>
          <w:tcPr>
            <w:tcW w:w="1386"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决算数</w:t>
            </w:r>
          </w:p>
        </w:tc>
        <w:tc>
          <w:tcPr>
            <w:tcW w:w="724"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科目编码</w:t>
            </w:r>
          </w:p>
        </w:tc>
        <w:tc>
          <w:tcPr>
            <w:tcW w:w="1987"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科目名称</w:t>
            </w:r>
          </w:p>
        </w:tc>
        <w:tc>
          <w:tcPr>
            <w:tcW w:w="1386"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决算数</w:t>
            </w:r>
          </w:p>
        </w:tc>
        <w:tc>
          <w:tcPr>
            <w:tcW w:w="672"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科目编码</w:t>
            </w:r>
          </w:p>
        </w:tc>
        <w:tc>
          <w:tcPr>
            <w:tcW w:w="3362"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科目名称</w:t>
            </w:r>
          </w:p>
        </w:tc>
        <w:tc>
          <w:tcPr>
            <w:tcW w:w="1386" w:type="dxa"/>
            <w:tcBorders>
              <w:top w:val="nil"/>
              <w:left w:val="nil"/>
              <w:bottom w:val="single" w:color="000000" w:sz="4" w:space="0"/>
              <w:right w:val="single" w:color="000000" w:sz="4" w:space="0"/>
            </w:tcBorders>
            <w:shd w:val="clear" w:color="FFFFFF" w:fill="C0C0C0"/>
            <w:vAlign w:val="center"/>
          </w:tcPr>
          <w:p>
            <w:pPr>
              <w:widowControl/>
              <w:spacing w:line="3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决算数</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工资福利支出</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34.23</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商品和服务支出</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4.43</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307</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债务利息及费用支出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30101</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基本工资</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14.63</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30201</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办公费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1.46</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30701</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国内债务付息</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30102</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津贴补贴</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30202</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印刷费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0.01</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30702</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国外债务付息</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30103</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奖金</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30203</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咨询费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资本性支出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cs="Arial"/>
                <w:color w:val="000000"/>
                <w:sz w:val="22"/>
              </w:rPr>
              <w:t>0.57</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30106</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伙食补助费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30204</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手续费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31001</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房屋建筑物购建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30107</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绩效工资</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9.49</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30205</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31002</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办公设备购置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cs="Arial"/>
                <w:color w:val="000000"/>
                <w:sz w:val="22"/>
              </w:rPr>
              <w:t>0.57</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30108</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机关事业单位基本养老保险缴费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4.11</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30206</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电费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31003</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专用设备购置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30109</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职业年金缴费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30207</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邮电费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0.50</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31005</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基础设施建设</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30110</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职工基本医疗保险缴费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1.86</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30208</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取暖费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31006</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大型修缮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30111</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公务员医疗补助缴费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30209</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物业管理费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31007</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信息网络及软件购置更新</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40"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30112</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其他社会保障缴费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30211</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差旅费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1.66</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31008</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物资储备</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30113</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住房公积金</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4.14</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30212</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因公出国（境）费用</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31009</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土地补偿</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30114</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医疗费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30213</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维修（护）费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31010</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安置补助</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30199</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其他工资福利支出</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30214</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租赁费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31011</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地上附着物和青苗补偿</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对个人和家庭的补助</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30215</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会议费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31012</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拆迁补偿</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30301</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离休费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30216</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培训费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31013</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公务用车购置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30302</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退休费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30217</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公务接待费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31019</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其他交通工具购置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30303</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退职（役）费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30218</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专用材料费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0.22</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31021</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文物和陈列品购置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30304</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抚恤金</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30224</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被装购置费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31022</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无形资产购置</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30305</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生活补助</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30225</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专用燃料费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31099</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其他资本性支出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30306</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救济费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30226</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劳务费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399</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30307</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医疗费补助</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30227</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委托业务费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0.50</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39906</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赠与</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30308</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助学金</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30228</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工会经费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39907</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国家赔偿费用支出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30309</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奖励金</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30229</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福利费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39908</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对民间非营利组织和群众性自治组织补贴</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30310</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个人农业生产补贴</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30231</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公务用车运行维护费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39999</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其他支出</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30311</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代缴社会保险费</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30239</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其他交通费用</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30399</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其他对个人和家庭的补助</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30240</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税金及附加费用</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CellMar>
            <w:top w:w="0" w:type="dxa"/>
            <w:left w:w="28" w:type="dxa"/>
            <w:bottom w:w="0" w:type="dxa"/>
            <w:right w:w="28" w:type="dxa"/>
          </w:tblCellMar>
        </w:tblPrEx>
        <w:trPr>
          <w:trHeight w:val="397" w:hRule="atLeast"/>
          <w:jc w:val="center"/>
        </w:trPr>
        <w:tc>
          <w:tcPr>
            <w:tcW w:w="664" w:type="dxa"/>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2608"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724"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30299</w:t>
            </w:r>
          </w:p>
        </w:tc>
        <w:tc>
          <w:tcPr>
            <w:tcW w:w="1987"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其他商品和服务支出</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0.08</w:t>
            </w:r>
          </w:p>
        </w:tc>
        <w:tc>
          <w:tcPr>
            <w:tcW w:w="67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3362" w:type="dxa"/>
            <w:tcBorders>
              <w:top w:val="nil"/>
              <w:left w:val="nil"/>
              <w:bottom w:val="single" w:color="000000" w:sz="4" w:space="0"/>
              <w:right w:val="single" w:color="000000" w:sz="4" w:space="0"/>
            </w:tcBorders>
            <w:shd w:val="clear" w:color="FFFFFF" w:fill="C0C0C0"/>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hint="eastAsia" w:cs="Arial"/>
                <w:color w:val="000000"/>
                <w:sz w:val="22"/>
              </w:rPr>
              <w:t>　</w:t>
            </w:r>
          </w:p>
        </w:tc>
      </w:tr>
      <w:tr>
        <w:tblPrEx>
          <w:tblCellMar>
            <w:top w:w="0" w:type="dxa"/>
            <w:left w:w="28" w:type="dxa"/>
            <w:bottom w:w="0" w:type="dxa"/>
            <w:right w:w="28" w:type="dxa"/>
          </w:tblCellMar>
        </w:tblPrEx>
        <w:trPr>
          <w:trHeight w:val="397" w:hRule="atLeast"/>
          <w:jc w:val="center"/>
        </w:trPr>
        <w:tc>
          <w:tcPr>
            <w:tcW w:w="3272"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人员经费合计</w:t>
            </w:r>
          </w:p>
        </w:tc>
        <w:tc>
          <w:tcPr>
            <w:tcW w:w="1386" w:type="dxa"/>
            <w:tcBorders>
              <w:top w:val="nil"/>
              <w:left w:val="nil"/>
              <w:bottom w:val="single" w:color="000000" w:sz="4" w:space="0"/>
              <w:right w:val="single" w:color="000000" w:sz="4" w:space="0"/>
            </w:tcBorders>
            <w:shd w:val="clear" w:color="auto" w:fill="auto"/>
            <w:noWrap/>
            <w:vAlign w:val="center"/>
          </w:tcPr>
          <w:p>
            <w:pPr>
              <w:widowControl/>
              <w:spacing w:line="300" w:lineRule="exact"/>
              <w:jc w:val="right"/>
              <w:rPr>
                <w:rFonts w:ascii="Times New Roman" w:hAnsi="Times New Roman" w:eastAsia="宋体"/>
                <w:color w:val="000000"/>
                <w:kern w:val="0"/>
                <w:sz w:val="22"/>
              </w:rPr>
            </w:pPr>
            <w:r>
              <w:rPr>
                <w:rFonts w:ascii="Times New Roman" w:hAnsi="Times New Roman" w:eastAsia="宋体"/>
                <w:color w:val="000000"/>
                <w:kern w:val="0"/>
                <w:sz w:val="22"/>
              </w:rPr>
              <w:t>34.23</w:t>
            </w:r>
          </w:p>
        </w:tc>
        <w:tc>
          <w:tcPr>
            <w:tcW w:w="8131" w:type="dxa"/>
            <w:gridSpan w:val="5"/>
            <w:tcBorders>
              <w:top w:val="nil"/>
              <w:left w:val="nil"/>
              <w:bottom w:val="single" w:color="000000" w:sz="4" w:space="0"/>
              <w:right w:val="single" w:color="000000" w:sz="4" w:space="0"/>
            </w:tcBorders>
            <w:shd w:val="clear" w:color="FFFFFF" w:fill="C0C0C0"/>
            <w:noWrap/>
            <w:vAlign w:val="center"/>
          </w:tcPr>
          <w:p>
            <w:pPr>
              <w:widowControl/>
              <w:spacing w:line="3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公用经费合计</w:t>
            </w:r>
          </w:p>
        </w:tc>
        <w:tc>
          <w:tcPr>
            <w:tcW w:w="1386" w:type="dxa"/>
            <w:tcBorders>
              <w:top w:val="nil"/>
              <w:left w:val="nil"/>
              <w:bottom w:val="single" w:color="000000" w:sz="4" w:space="0"/>
              <w:right w:val="single" w:color="000000" w:sz="4" w:space="0"/>
            </w:tcBorders>
            <w:noWrap/>
            <w:vAlign w:val="center"/>
          </w:tcPr>
          <w:p>
            <w:pPr>
              <w:widowControl/>
              <w:spacing w:line="300" w:lineRule="exact"/>
              <w:jc w:val="right"/>
              <w:rPr>
                <w:rFonts w:ascii="Times New Roman" w:hAnsi="Times New Roman" w:eastAsia="宋体"/>
                <w:color w:val="000000"/>
                <w:kern w:val="0"/>
                <w:sz w:val="22"/>
              </w:rPr>
            </w:pPr>
            <w:r>
              <w:rPr>
                <w:rFonts w:ascii="Times New Roman" w:hAnsi="Times New Roman" w:eastAsia="宋体"/>
                <w:color w:val="000000"/>
                <w:kern w:val="0"/>
                <w:sz w:val="22"/>
              </w:rPr>
              <w:t>5.00</w:t>
            </w:r>
          </w:p>
        </w:tc>
      </w:tr>
      <w:tr>
        <w:tblPrEx>
          <w:tblCellMar>
            <w:top w:w="0" w:type="dxa"/>
            <w:left w:w="28" w:type="dxa"/>
            <w:bottom w:w="0" w:type="dxa"/>
            <w:right w:w="28" w:type="dxa"/>
          </w:tblCellMar>
        </w:tblPrEx>
        <w:trPr>
          <w:trHeight w:val="397" w:hRule="atLeast"/>
          <w:jc w:val="center"/>
        </w:trPr>
        <w:tc>
          <w:tcPr>
            <w:tcW w:w="14175" w:type="dxa"/>
            <w:gridSpan w:val="9"/>
            <w:tcBorders>
              <w:top w:val="nil"/>
              <w:left w:val="nil"/>
              <w:bottom w:val="nil"/>
              <w:right w:val="nil"/>
            </w:tcBorders>
            <w:noWrap/>
            <w:vAlign w:val="center"/>
          </w:tcPr>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注：本表反映部门本年度一般公共预算财政拨款基本支出明细情况。</w:t>
            </w:r>
          </w:p>
        </w:tc>
      </w:tr>
    </w:tbl>
    <w:p>
      <w:pPr>
        <w:spacing w:line="20" w:lineRule="exact"/>
        <w:rPr>
          <w:rFonts w:ascii="Times New Roman" w:hAnsi="Times New Roman"/>
        </w:rPr>
      </w:pPr>
    </w:p>
    <w:p>
      <w:pPr>
        <w:spacing w:line="500" w:lineRule="exact"/>
        <w:jc w:val="center"/>
        <w:rPr>
          <w:rFonts w:ascii="Times New Roman" w:hAnsi="Times New Roman" w:eastAsia="方正小标宋简体"/>
        </w:rPr>
      </w:pPr>
      <w:r>
        <w:rPr>
          <w:rFonts w:ascii="Times New Roman" w:hAnsi="Times New Roman"/>
        </w:rPr>
        <w:br w:type="page"/>
      </w:r>
      <w:r>
        <w:rPr>
          <w:rFonts w:ascii="Times New Roman" w:hAnsi="Times New Roman" w:eastAsia="方正小标宋简体"/>
          <w:color w:val="000000"/>
          <w:kern w:val="0"/>
          <w:sz w:val="44"/>
          <w:szCs w:val="44"/>
        </w:rPr>
        <w:t>一般公共预算财政拨款“三公”经费支出决算表</w:t>
      </w:r>
    </w:p>
    <w:tbl>
      <w:tblPr>
        <w:tblStyle w:val="6"/>
        <w:tblW w:w="14175" w:type="dxa"/>
        <w:jc w:val="center"/>
        <w:tblLayout w:type="fixed"/>
        <w:tblCellMar>
          <w:top w:w="0" w:type="dxa"/>
          <w:left w:w="28" w:type="dxa"/>
          <w:bottom w:w="0" w:type="dxa"/>
          <w:right w:w="28" w:type="dxa"/>
        </w:tblCellMar>
      </w:tblPr>
      <w:tblGrid>
        <w:gridCol w:w="4198"/>
        <w:gridCol w:w="522"/>
        <w:gridCol w:w="1180"/>
        <w:gridCol w:w="1181"/>
        <w:gridCol w:w="1181"/>
        <w:gridCol w:w="1181"/>
        <w:gridCol w:w="1181"/>
        <w:gridCol w:w="1181"/>
        <w:gridCol w:w="898"/>
        <w:gridCol w:w="1472"/>
      </w:tblGrid>
      <w:tr>
        <w:tblPrEx>
          <w:tblCellMar>
            <w:top w:w="0" w:type="dxa"/>
            <w:left w:w="28" w:type="dxa"/>
            <w:bottom w:w="0" w:type="dxa"/>
            <w:right w:w="28" w:type="dxa"/>
          </w:tblCellMar>
        </w:tblPrEx>
        <w:trPr>
          <w:trHeight w:val="454" w:hRule="atLeast"/>
          <w:jc w:val="center"/>
        </w:trPr>
        <w:tc>
          <w:tcPr>
            <w:tcW w:w="4198"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522"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0"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1"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1"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1"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1"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181"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898"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472" w:type="dxa"/>
            <w:tcBorders>
              <w:top w:val="nil"/>
              <w:left w:val="nil"/>
              <w:bottom w:val="nil"/>
              <w:right w:val="nil"/>
            </w:tcBorders>
            <w:noWrap/>
            <w:vAlign w:val="bottom"/>
          </w:tcPr>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公开07表</w:t>
            </w:r>
          </w:p>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5"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28" w:type="dxa"/>
          <w:bottom w:w="0" w:type="dxa"/>
          <w:right w:w="28" w:type="dxa"/>
        </w:tblCellMar>
      </w:tblPr>
      <w:tblGrid>
        <w:gridCol w:w="1180"/>
        <w:gridCol w:w="1180"/>
        <w:gridCol w:w="1180"/>
        <w:gridCol w:w="1180"/>
        <w:gridCol w:w="1180"/>
        <w:gridCol w:w="1181"/>
        <w:gridCol w:w="1181"/>
        <w:gridCol w:w="1181"/>
        <w:gridCol w:w="1181"/>
        <w:gridCol w:w="1181"/>
        <w:gridCol w:w="1181"/>
        <w:gridCol w:w="1189"/>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081" w:type="dxa"/>
            <w:gridSpan w:val="6"/>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预算数</w:t>
            </w:r>
          </w:p>
        </w:tc>
        <w:tc>
          <w:tcPr>
            <w:tcW w:w="7094" w:type="dxa"/>
            <w:gridSpan w:val="6"/>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决算数</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1180"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合计</w:t>
            </w:r>
          </w:p>
        </w:tc>
        <w:tc>
          <w:tcPr>
            <w:tcW w:w="1180"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因公出国（境）费</w:t>
            </w:r>
          </w:p>
        </w:tc>
        <w:tc>
          <w:tcPr>
            <w:tcW w:w="3540" w:type="dxa"/>
            <w:gridSpan w:val="3"/>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公务用车购置及运行费</w:t>
            </w:r>
          </w:p>
        </w:tc>
        <w:tc>
          <w:tcPr>
            <w:tcW w:w="1181"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公务接待费</w:t>
            </w:r>
          </w:p>
        </w:tc>
        <w:tc>
          <w:tcPr>
            <w:tcW w:w="1181"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合计</w:t>
            </w:r>
          </w:p>
        </w:tc>
        <w:tc>
          <w:tcPr>
            <w:tcW w:w="1181"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因公出国（境）费</w:t>
            </w:r>
          </w:p>
        </w:tc>
        <w:tc>
          <w:tcPr>
            <w:tcW w:w="3543" w:type="dxa"/>
            <w:gridSpan w:val="3"/>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公务用车购置及运行费</w:t>
            </w:r>
          </w:p>
        </w:tc>
        <w:tc>
          <w:tcPr>
            <w:tcW w:w="1189" w:type="dxa"/>
            <w:vMerge w:val="restart"/>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公务接待费</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1180" w:type="dxa"/>
            <w:vMerge w:val="continue"/>
            <w:shd w:val="clear" w:color="auto" w:fill="auto"/>
            <w:vAlign w:val="center"/>
          </w:tcPr>
          <w:p>
            <w:pPr>
              <w:widowControl/>
              <w:jc w:val="left"/>
              <w:rPr>
                <w:rFonts w:ascii="Times New Roman" w:hAnsi="Times New Roman" w:eastAsia="宋体"/>
                <w:color w:val="000000"/>
                <w:kern w:val="0"/>
                <w:sz w:val="22"/>
              </w:rPr>
            </w:pPr>
          </w:p>
        </w:tc>
        <w:tc>
          <w:tcPr>
            <w:tcW w:w="1180" w:type="dxa"/>
            <w:vMerge w:val="continue"/>
            <w:shd w:val="clear" w:color="auto" w:fill="auto"/>
            <w:vAlign w:val="center"/>
          </w:tcPr>
          <w:p>
            <w:pPr>
              <w:widowControl/>
              <w:jc w:val="left"/>
              <w:rPr>
                <w:rFonts w:ascii="Times New Roman" w:hAnsi="Times New Roman" w:eastAsia="宋体"/>
                <w:color w:val="000000"/>
                <w:kern w:val="0"/>
                <w:sz w:val="22"/>
              </w:rPr>
            </w:pP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小计</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公务用车购置费</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公务用车运行费</w:t>
            </w:r>
          </w:p>
        </w:tc>
        <w:tc>
          <w:tcPr>
            <w:tcW w:w="1181" w:type="dxa"/>
            <w:vMerge w:val="continue"/>
            <w:shd w:val="clear" w:color="auto" w:fill="auto"/>
            <w:vAlign w:val="center"/>
          </w:tcPr>
          <w:p>
            <w:pPr>
              <w:widowControl/>
              <w:jc w:val="left"/>
              <w:rPr>
                <w:rFonts w:ascii="Times New Roman" w:hAnsi="Times New Roman" w:eastAsia="宋体"/>
                <w:color w:val="000000"/>
                <w:kern w:val="0"/>
                <w:sz w:val="22"/>
              </w:rPr>
            </w:pPr>
          </w:p>
        </w:tc>
        <w:tc>
          <w:tcPr>
            <w:tcW w:w="1181" w:type="dxa"/>
            <w:vMerge w:val="continue"/>
            <w:shd w:val="clear" w:color="auto" w:fill="auto"/>
            <w:vAlign w:val="center"/>
          </w:tcPr>
          <w:p>
            <w:pPr>
              <w:widowControl/>
              <w:jc w:val="left"/>
              <w:rPr>
                <w:rFonts w:ascii="Times New Roman" w:hAnsi="Times New Roman" w:eastAsia="宋体"/>
                <w:color w:val="000000"/>
                <w:kern w:val="0"/>
                <w:sz w:val="22"/>
              </w:rPr>
            </w:pPr>
          </w:p>
        </w:tc>
        <w:tc>
          <w:tcPr>
            <w:tcW w:w="1181" w:type="dxa"/>
            <w:vMerge w:val="continue"/>
            <w:shd w:val="clear" w:color="auto" w:fill="auto"/>
            <w:vAlign w:val="center"/>
          </w:tcPr>
          <w:p>
            <w:pPr>
              <w:widowControl/>
              <w:jc w:val="left"/>
              <w:rPr>
                <w:rFonts w:ascii="Times New Roman" w:hAnsi="Times New Roman" w:eastAsia="宋体"/>
                <w:color w:val="000000"/>
                <w:kern w:val="0"/>
                <w:sz w:val="22"/>
              </w:rPr>
            </w:pP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小计</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公务用车购置费</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公务用车运行费</w:t>
            </w:r>
          </w:p>
        </w:tc>
        <w:tc>
          <w:tcPr>
            <w:tcW w:w="1189" w:type="dxa"/>
            <w:vMerge w:val="continue"/>
            <w:vAlign w:val="center"/>
          </w:tcPr>
          <w:p>
            <w:pPr>
              <w:widowControl/>
              <w:jc w:val="left"/>
              <w:rPr>
                <w:rFonts w:ascii="Times New Roman" w:hAnsi="Times New Roman" w:eastAsia="宋体"/>
                <w:color w:val="000000"/>
                <w:kern w:val="0"/>
                <w:sz w:val="22"/>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1</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2</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3</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4</w:t>
            </w:r>
          </w:p>
        </w:tc>
        <w:tc>
          <w:tcPr>
            <w:tcW w:w="1180"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5</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6</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7</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8</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9</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10</w:t>
            </w:r>
          </w:p>
        </w:tc>
        <w:tc>
          <w:tcPr>
            <w:tcW w:w="1181"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11</w:t>
            </w:r>
          </w:p>
        </w:tc>
        <w:tc>
          <w:tcPr>
            <w:tcW w:w="1189" w:type="dxa"/>
            <w:shd w:val="clear" w:color="FFFFFF" w:fill="C0C0C0"/>
            <w:vAlign w:val="center"/>
          </w:tcPr>
          <w:p>
            <w:pPr>
              <w:widowControl/>
              <w:jc w:val="center"/>
              <w:rPr>
                <w:rFonts w:ascii="Times New Roman" w:hAnsi="Times New Roman" w:eastAsia="宋体"/>
                <w:color w:val="000000"/>
                <w:kern w:val="0"/>
                <w:sz w:val="22"/>
              </w:rPr>
            </w:pPr>
            <w:r>
              <w:rPr>
                <w:rFonts w:ascii="Times New Roman" w:hAnsi="Times New Roman" w:eastAsia="宋体"/>
                <w:color w:val="000000"/>
                <w:kern w:val="0"/>
                <w:sz w:val="22"/>
              </w:rPr>
              <w:t>12</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1180" w:type="dxa"/>
            <w:noWrap/>
            <w:vAlign w:val="center"/>
          </w:tcPr>
          <w:p>
            <w:pPr>
              <w:widowControl/>
              <w:jc w:val="right"/>
              <w:rPr>
                <w:rFonts w:ascii="Times New Roman" w:hAnsi="Times New Roman" w:eastAsia="宋体"/>
                <w:color w:val="000000"/>
                <w:kern w:val="0"/>
                <w:sz w:val="22"/>
              </w:rPr>
            </w:pPr>
          </w:p>
        </w:tc>
        <w:tc>
          <w:tcPr>
            <w:tcW w:w="1180" w:type="dxa"/>
            <w:noWrap/>
            <w:vAlign w:val="center"/>
          </w:tcPr>
          <w:p>
            <w:pPr>
              <w:widowControl/>
              <w:jc w:val="right"/>
              <w:rPr>
                <w:rFonts w:ascii="Times New Roman" w:hAnsi="Times New Roman" w:eastAsia="宋体"/>
                <w:color w:val="000000"/>
                <w:kern w:val="0"/>
                <w:sz w:val="22"/>
              </w:rPr>
            </w:pPr>
          </w:p>
        </w:tc>
        <w:tc>
          <w:tcPr>
            <w:tcW w:w="1180" w:type="dxa"/>
            <w:noWrap/>
            <w:vAlign w:val="center"/>
          </w:tcPr>
          <w:p>
            <w:pPr>
              <w:widowControl/>
              <w:jc w:val="right"/>
              <w:rPr>
                <w:rFonts w:ascii="Times New Roman" w:hAnsi="Times New Roman" w:eastAsia="宋体"/>
                <w:color w:val="000000"/>
                <w:kern w:val="0"/>
                <w:sz w:val="22"/>
              </w:rPr>
            </w:pPr>
          </w:p>
        </w:tc>
        <w:tc>
          <w:tcPr>
            <w:tcW w:w="1180" w:type="dxa"/>
            <w:noWrap/>
            <w:vAlign w:val="center"/>
          </w:tcPr>
          <w:p>
            <w:pPr>
              <w:widowControl/>
              <w:jc w:val="right"/>
              <w:rPr>
                <w:rFonts w:ascii="Times New Roman" w:hAnsi="Times New Roman" w:eastAsia="宋体"/>
                <w:color w:val="000000"/>
                <w:kern w:val="0"/>
                <w:sz w:val="22"/>
              </w:rPr>
            </w:pPr>
          </w:p>
        </w:tc>
        <w:tc>
          <w:tcPr>
            <w:tcW w:w="1180"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1" w:type="dxa"/>
            <w:noWrap/>
            <w:vAlign w:val="center"/>
          </w:tcPr>
          <w:p>
            <w:pPr>
              <w:widowControl/>
              <w:jc w:val="right"/>
              <w:rPr>
                <w:rFonts w:ascii="Times New Roman" w:hAnsi="Times New Roman" w:eastAsia="宋体"/>
                <w:color w:val="000000"/>
                <w:kern w:val="0"/>
                <w:sz w:val="22"/>
              </w:rPr>
            </w:pPr>
          </w:p>
        </w:tc>
        <w:tc>
          <w:tcPr>
            <w:tcW w:w="1189" w:type="dxa"/>
            <w:noWrap/>
            <w:vAlign w:val="center"/>
          </w:tcPr>
          <w:p>
            <w:pPr>
              <w:widowControl/>
              <w:jc w:val="right"/>
              <w:rPr>
                <w:rFonts w:ascii="Times New Roman" w:hAnsi="Times New Roman" w:eastAsia="宋体"/>
                <w:color w:val="000000"/>
                <w:kern w:val="0"/>
                <w:sz w:val="22"/>
              </w:rPr>
            </w:pPr>
          </w:p>
        </w:tc>
      </w:tr>
    </w:tbl>
    <w:p>
      <w:pPr>
        <w:widowControl/>
        <w:spacing w:line="3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注：</w:t>
      </w:r>
      <w:r>
        <w:rPr>
          <w:rFonts w:hint="eastAsia" w:ascii="Times New Roman" w:hAnsi="Times New Roman" w:eastAsia="宋体"/>
          <w:color w:val="000000"/>
          <w:kern w:val="0"/>
          <w:sz w:val="22"/>
        </w:rPr>
        <w:t>本表反映部门本年度“三公”经费支出预决算情况。其中，预算数为“三公”经费全年预算数，反映按规定程序调整后的预算数；决算数是包括当年一般公共预算财政拨款和以前年度结转资金安排的实际支出。</w:t>
      </w:r>
    </w:p>
    <w:p>
      <w:pPr>
        <w:spacing w:line="500" w:lineRule="exact"/>
        <w:jc w:val="center"/>
        <w:rPr>
          <w:rFonts w:ascii="Times New Roman" w:hAnsi="Times New Roman" w:eastAsia="方正小标宋简体"/>
          <w:sz w:val="44"/>
          <w:szCs w:val="44"/>
        </w:rPr>
      </w:pPr>
      <w:r>
        <w:rPr>
          <w:rFonts w:ascii="Times New Roman" w:hAnsi="Times New Roman"/>
        </w:rPr>
        <w:br w:type="page"/>
      </w:r>
      <w:r>
        <w:rPr>
          <w:rFonts w:ascii="Times New Roman" w:hAnsi="Times New Roman" w:eastAsia="方正小标宋简体"/>
          <w:color w:val="000000"/>
          <w:kern w:val="0"/>
          <w:sz w:val="44"/>
          <w:szCs w:val="44"/>
        </w:rPr>
        <w:t>政府性基金预算财政拨款收入支出决算表</w:t>
      </w:r>
    </w:p>
    <w:tbl>
      <w:tblPr>
        <w:tblStyle w:val="6"/>
        <w:tblW w:w="14175" w:type="dxa"/>
        <w:jc w:val="center"/>
        <w:tblLayout w:type="fixed"/>
        <w:tblCellMar>
          <w:top w:w="0" w:type="dxa"/>
          <w:left w:w="28" w:type="dxa"/>
          <w:bottom w:w="0" w:type="dxa"/>
          <w:right w:w="28" w:type="dxa"/>
        </w:tblCellMar>
      </w:tblPr>
      <w:tblGrid>
        <w:gridCol w:w="4677"/>
        <w:gridCol w:w="1583"/>
        <w:gridCol w:w="1583"/>
        <w:gridCol w:w="1583"/>
        <w:gridCol w:w="1583"/>
        <w:gridCol w:w="1583"/>
        <w:gridCol w:w="1583"/>
      </w:tblGrid>
      <w:tr>
        <w:tblPrEx>
          <w:tblCellMar>
            <w:top w:w="0" w:type="dxa"/>
            <w:left w:w="28" w:type="dxa"/>
            <w:bottom w:w="0" w:type="dxa"/>
            <w:right w:w="28" w:type="dxa"/>
          </w:tblCellMar>
        </w:tblPrEx>
        <w:trPr>
          <w:trHeight w:val="255" w:hRule="atLeast"/>
          <w:jc w:val="center"/>
        </w:trPr>
        <w:tc>
          <w:tcPr>
            <w:tcW w:w="4677"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1583"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583"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583"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583"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583" w:type="dxa"/>
            <w:tcBorders>
              <w:top w:val="nil"/>
              <w:left w:val="nil"/>
              <w:bottom w:val="nil"/>
              <w:right w:val="nil"/>
            </w:tcBorders>
            <w:noWrap/>
            <w:vAlign w:val="bottom"/>
          </w:tcPr>
          <w:p>
            <w:pPr>
              <w:widowControl/>
              <w:spacing w:line="300" w:lineRule="exact"/>
              <w:jc w:val="left"/>
              <w:rPr>
                <w:rFonts w:ascii="Times New Roman" w:hAnsi="Times New Roman" w:eastAsia="宋体"/>
                <w:color w:val="000000"/>
                <w:kern w:val="0"/>
                <w:sz w:val="20"/>
                <w:szCs w:val="20"/>
              </w:rPr>
            </w:pPr>
          </w:p>
        </w:tc>
        <w:tc>
          <w:tcPr>
            <w:tcW w:w="1583" w:type="dxa"/>
            <w:tcBorders>
              <w:top w:val="nil"/>
              <w:left w:val="nil"/>
              <w:bottom w:val="nil"/>
              <w:right w:val="nil"/>
            </w:tcBorders>
            <w:noWrap/>
            <w:vAlign w:val="bottom"/>
          </w:tcPr>
          <w:p>
            <w:pPr>
              <w:widowControl/>
              <w:spacing w:line="300" w:lineRule="exact"/>
              <w:jc w:val="right"/>
              <w:rPr>
                <w:rFonts w:ascii="Times New Roman" w:hAnsi="Times New Roman" w:eastAsia="宋体"/>
                <w:b/>
                <w:color w:val="000000"/>
                <w:kern w:val="0"/>
                <w:sz w:val="20"/>
                <w:szCs w:val="20"/>
              </w:rPr>
            </w:pPr>
            <w:r>
              <w:rPr>
                <w:rFonts w:ascii="Times New Roman" w:hAnsi="Times New Roman" w:eastAsia="宋体"/>
                <w:color w:val="000000"/>
                <w:kern w:val="0"/>
                <w:sz w:val="20"/>
                <w:szCs w:val="20"/>
              </w:rPr>
              <w:t>公开08表</w:t>
            </w:r>
          </w:p>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14175" w:type="dxa"/>
        <w:jc w:val="center"/>
        <w:tblLayout w:type="fixed"/>
        <w:tblCellMar>
          <w:top w:w="0" w:type="dxa"/>
          <w:left w:w="28" w:type="dxa"/>
          <w:bottom w:w="0" w:type="dxa"/>
          <w:right w:w="28" w:type="dxa"/>
        </w:tblCellMar>
      </w:tblPr>
      <w:tblGrid>
        <w:gridCol w:w="971"/>
        <w:gridCol w:w="3935"/>
        <w:gridCol w:w="1701"/>
        <w:gridCol w:w="1236"/>
        <w:gridCol w:w="1525"/>
        <w:gridCol w:w="1525"/>
        <w:gridCol w:w="1526"/>
        <w:gridCol w:w="1756"/>
      </w:tblGrid>
      <w:tr>
        <w:tblPrEx>
          <w:tblCellMar>
            <w:top w:w="0" w:type="dxa"/>
            <w:left w:w="28" w:type="dxa"/>
            <w:bottom w:w="0" w:type="dxa"/>
            <w:right w:w="28" w:type="dxa"/>
          </w:tblCellMar>
        </w:tblPrEx>
        <w:trPr>
          <w:trHeight w:val="454" w:hRule="atLeast"/>
          <w:jc w:val="center"/>
        </w:trPr>
        <w:tc>
          <w:tcPr>
            <w:tcW w:w="4906"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w:t>
            </w:r>
          </w:p>
        </w:tc>
        <w:tc>
          <w:tcPr>
            <w:tcW w:w="1701" w:type="dxa"/>
            <w:vMerge w:val="restart"/>
            <w:tcBorders>
              <w:top w:val="single" w:color="000000" w:sz="4" w:space="0"/>
              <w:left w:val="nil"/>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年初结转和结余</w:t>
            </w:r>
          </w:p>
        </w:tc>
        <w:tc>
          <w:tcPr>
            <w:tcW w:w="1236" w:type="dxa"/>
            <w:vMerge w:val="restart"/>
            <w:tcBorders>
              <w:top w:val="single" w:color="000000" w:sz="4" w:space="0"/>
              <w:left w:val="nil"/>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本年收入</w:t>
            </w:r>
          </w:p>
        </w:tc>
        <w:tc>
          <w:tcPr>
            <w:tcW w:w="4576"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本年支出</w:t>
            </w:r>
          </w:p>
        </w:tc>
        <w:tc>
          <w:tcPr>
            <w:tcW w:w="1756" w:type="dxa"/>
            <w:vMerge w:val="restart"/>
            <w:tcBorders>
              <w:top w:val="single" w:color="000000" w:sz="4" w:space="0"/>
              <w:left w:val="nil"/>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年末结转和结余</w:t>
            </w:r>
          </w:p>
        </w:tc>
      </w:tr>
      <w:tr>
        <w:tblPrEx>
          <w:tblCellMar>
            <w:top w:w="0" w:type="dxa"/>
            <w:left w:w="28" w:type="dxa"/>
            <w:bottom w:w="0" w:type="dxa"/>
            <w:right w:w="28" w:type="dxa"/>
          </w:tblCellMar>
        </w:tblPrEx>
        <w:trPr>
          <w:trHeight w:val="454" w:hRule="atLeast"/>
          <w:jc w:val="center"/>
        </w:trPr>
        <w:tc>
          <w:tcPr>
            <w:tcW w:w="971" w:type="dxa"/>
            <w:tcBorders>
              <w:top w:val="nil"/>
              <w:left w:val="single" w:color="000000" w:sz="4" w:space="0"/>
              <w:bottom w:val="single" w:color="000000" w:sz="4" w:space="0"/>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功能分类科目编码</w:t>
            </w:r>
          </w:p>
        </w:tc>
        <w:tc>
          <w:tcPr>
            <w:tcW w:w="3935"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科目名称</w:t>
            </w:r>
          </w:p>
        </w:tc>
        <w:tc>
          <w:tcPr>
            <w:tcW w:w="1701" w:type="dxa"/>
            <w:vMerge w:val="continue"/>
            <w:tcBorders>
              <w:left w:val="nil"/>
              <w:bottom w:val="single" w:color="000000" w:sz="4" w:space="0"/>
              <w:right w:val="single" w:color="000000" w:sz="4" w:space="0"/>
            </w:tcBorders>
            <w:shd w:val="clear" w:color="FFFFFF" w:fill="C0C0C0"/>
            <w:vAlign w:val="center"/>
          </w:tcPr>
          <w:p>
            <w:pPr>
              <w:widowControl/>
              <w:spacing w:line="400" w:lineRule="exact"/>
              <w:jc w:val="left"/>
              <w:rPr>
                <w:rFonts w:ascii="Times New Roman" w:hAnsi="Times New Roman" w:eastAsia="黑体"/>
                <w:color w:val="000000"/>
                <w:kern w:val="0"/>
                <w:sz w:val="22"/>
              </w:rPr>
            </w:pPr>
          </w:p>
        </w:tc>
        <w:tc>
          <w:tcPr>
            <w:tcW w:w="1236" w:type="dxa"/>
            <w:vMerge w:val="continue"/>
            <w:tcBorders>
              <w:left w:val="nil"/>
              <w:bottom w:val="single" w:color="000000" w:sz="4" w:space="0"/>
              <w:right w:val="single" w:color="000000" w:sz="4" w:space="0"/>
            </w:tcBorders>
            <w:shd w:val="clear" w:color="FFFFFF" w:fill="C0C0C0"/>
            <w:vAlign w:val="center"/>
          </w:tcPr>
          <w:p>
            <w:pPr>
              <w:widowControl/>
              <w:spacing w:line="400" w:lineRule="exact"/>
              <w:jc w:val="left"/>
              <w:rPr>
                <w:rFonts w:ascii="Times New Roman" w:hAnsi="Times New Roman" w:eastAsia="黑体"/>
                <w:color w:val="000000"/>
                <w:kern w:val="0"/>
                <w:sz w:val="22"/>
              </w:rPr>
            </w:pPr>
          </w:p>
        </w:tc>
        <w:tc>
          <w:tcPr>
            <w:tcW w:w="1525" w:type="dxa"/>
            <w:tcBorders>
              <w:top w:val="nil"/>
              <w:left w:val="nil"/>
              <w:bottom w:val="single" w:color="000000" w:sz="4" w:space="0"/>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小计</w:t>
            </w:r>
          </w:p>
        </w:tc>
        <w:tc>
          <w:tcPr>
            <w:tcW w:w="1525" w:type="dxa"/>
            <w:tcBorders>
              <w:top w:val="nil"/>
              <w:left w:val="nil"/>
              <w:bottom w:val="single" w:color="000000" w:sz="4" w:space="0"/>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基本支出</w:t>
            </w:r>
          </w:p>
        </w:tc>
        <w:tc>
          <w:tcPr>
            <w:tcW w:w="1526" w:type="dxa"/>
            <w:tcBorders>
              <w:top w:val="nil"/>
              <w:left w:val="nil"/>
              <w:bottom w:val="single" w:color="000000" w:sz="4" w:space="0"/>
              <w:right w:val="single" w:color="000000" w:sz="4" w:space="0"/>
            </w:tcBorders>
            <w:shd w:val="clear" w:color="FFFFFF" w:fill="C0C0C0"/>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项目支出</w:t>
            </w:r>
          </w:p>
        </w:tc>
        <w:tc>
          <w:tcPr>
            <w:tcW w:w="1756" w:type="dxa"/>
            <w:vMerge w:val="continue"/>
            <w:tcBorders>
              <w:left w:val="nil"/>
              <w:bottom w:val="single" w:color="000000" w:sz="4" w:space="0"/>
              <w:right w:val="single" w:color="000000" w:sz="4" w:space="0"/>
            </w:tcBorders>
            <w:shd w:val="clear" w:color="FFFFFF" w:fill="C0C0C0"/>
            <w:vAlign w:val="center"/>
          </w:tcPr>
          <w:p>
            <w:pPr>
              <w:widowControl/>
              <w:spacing w:line="400" w:lineRule="exact"/>
              <w:jc w:val="left"/>
              <w:rPr>
                <w:rFonts w:ascii="Times New Roman" w:hAnsi="Times New Roman" w:eastAsia="黑体"/>
                <w:color w:val="000000"/>
                <w:kern w:val="0"/>
                <w:sz w:val="22"/>
              </w:rPr>
            </w:pPr>
          </w:p>
        </w:tc>
      </w:tr>
      <w:tr>
        <w:tblPrEx>
          <w:tblCellMar>
            <w:top w:w="0" w:type="dxa"/>
            <w:left w:w="28" w:type="dxa"/>
            <w:bottom w:w="0" w:type="dxa"/>
            <w:right w:w="28" w:type="dxa"/>
          </w:tblCellMar>
        </w:tblPrEx>
        <w:trPr>
          <w:trHeight w:val="454" w:hRule="atLeast"/>
          <w:jc w:val="center"/>
        </w:trPr>
        <w:tc>
          <w:tcPr>
            <w:tcW w:w="4906"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栏次</w:t>
            </w:r>
          </w:p>
        </w:tc>
        <w:tc>
          <w:tcPr>
            <w:tcW w:w="1701"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1</w:t>
            </w:r>
          </w:p>
        </w:tc>
        <w:tc>
          <w:tcPr>
            <w:tcW w:w="1236"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2</w:t>
            </w:r>
          </w:p>
        </w:tc>
        <w:tc>
          <w:tcPr>
            <w:tcW w:w="1525"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3</w:t>
            </w:r>
          </w:p>
        </w:tc>
        <w:tc>
          <w:tcPr>
            <w:tcW w:w="1525"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4</w:t>
            </w:r>
          </w:p>
        </w:tc>
        <w:tc>
          <w:tcPr>
            <w:tcW w:w="1526"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5</w:t>
            </w:r>
          </w:p>
        </w:tc>
        <w:tc>
          <w:tcPr>
            <w:tcW w:w="1756" w:type="dxa"/>
            <w:tcBorders>
              <w:top w:val="nil"/>
              <w:left w:val="nil"/>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6</w:t>
            </w:r>
          </w:p>
        </w:tc>
      </w:tr>
      <w:tr>
        <w:tblPrEx>
          <w:tblCellMar>
            <w:top w:w="0" w:type="dxa"/>
            <w:left w:w="28" w:type="dxa"/>
            <w:bottom w:w="0" w:type="dxa"/>
            <w:right w:w="28" w:type="dxa"/>
          </w:tblCellMar>
        </w:tblPrEx>
        <w:trPr>
          <w:trHeight w:val="454" w:hRule="atLeast"/>
          <w:jc w:val="center"/>
        </w:trPr>
        <w:tc>
          <w:tcPr>
            <w:tcW w:w="4906"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spacing w:line="40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合计</w:t>
            </w:r>
          </w:p>
        </w:tc>
        <w:tc>
          <w:tcPr>
            <w:tcW w:w="1701"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c>
          <w:tcPr>
            <w:tcW w:w="123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c>
          <w:tcPr>
            <w:tcW w:w="152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c>
          <w:tcPr>
            <w:tcW w:w="175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b/>
                <w:bCs/>
                <w:color w:val="000000"/>
                <w:kern w:val="0"/>
                <w:sz w:val="22"/>
              </w:rPr>
            </w:pPr>
          </w:p>
        </w:tc>
      </w:tr>
      <w:tr>
        <w:tblPrEx>
          <w:tblCellMar>
            <w:top w:w="0" w:type="dxa"/>
            <w:left w:w="28" w:type="dxa"/>
            <w:bottom w:w="0" w:type="dxa"/>
            <w:right w:w="28" w:type="dxa"/>
          </w:tblCellMar>
        </w:tblPrEx>
        <w:trPr>
          <w:trHeight w:val="454" w:hRule="atLeast"/>
          <w:jc w:val="center"/>
        </w:trPr>
        <w:tc>
          <w:tcPr>
            <w:tcW w:w="971" w:type="dxa"/>
            <w:tcBorders>
              <w:top w:val="nil"/>
              <w:left w:val="single" w:color="000000" w:sz="4" w:space="0"/>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3935" w:type="dxa"/>
            <w:tcBorders>
              <w:top w:val="nil"/>
              <w:left w:val="nil"/>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1701"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23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75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454" w:hRule="atLeast"/>
          <w:jc w:val="center"/>
        </w:trPr>
        <w:tc>
          <w:tcPr>
            <w:tcW w:w="971" w:type="dxa"/>
            <w:tcBorders>
              <w:top w:val="nil"/>
              <w:left w:val="single" w:color="000000" w:sz="4" w:space="0"/>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3935" w:type="dxa"/>
            <w:tcBorders>
              <w:top w:val="nil"/>
              <w:left w:val="nil"/>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1701"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23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75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454" w:hRule="atLeast"/>
          <w:jc w:val="center"/>
        </w:trPr>
        <w:tc>
          <w:tcPr>
            <w:tcW w:w="971" w:type="dxa"/>
            <w:tcBorders>
              <w:top w:val="nil"/>
              <w:left w:val="single" w:color="000000" w:sz="4" w:space="0"/>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3935" w:type="dxa"/>
            <w:tcBorders>
              <w:top w:val="nil"/>
              <w:left w:val="nil"/>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1701"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23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75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r>
      <w:tr>
        <w:tblPrEx>
          <w:tblCellMar>
            <w:top w:w="0" w:type="dxa"/>
            <w:left w:w="28" w:type="dxa"/>
            <w:bottom w:w="0" w:type="dxa"/>
            <w:right w:w="28" w:type="dxa"/>
          </w:tblCellMar>
        </w:tblPrEx>
        <w:trPr>
          <w:trHeight w:val="454" w:hRule="atLeast"/>
          <w:jc w:val="center"/>
        </w:trPr>
        <w:tc>
          <w:tcPr>
            <w:tcW w:w="971" w:type="dxa"/>
            <w:tcBorders>
              <w:top w:val="nil"/>
              <w:left w:val="single" w:color="000000" w:sz="4" w:space="0"/>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3935" w:type="dxa"/>
            <w:tcBorders>
              <w:top w:val="nil"/>
              <w:left w:val="nil"/>
              <w:bottom w:val="single" w:color="000000" w:sz="4" w:space="0"/>
              <w:right w:val="single" w:color="000000" w:sz="4" w:space="0"/>
            </w:tcBorders>
            <w:noWrap/>
            <w:vAlign w:val="center"/>
          </w:tcPr>
          <w:p>
            <w:pPr>
              <w:widowControl/>
              <w:spacing w:line="400" w:lineRule="exact"/>
              <w:jc w:val="left"/>
              <w:rPr>
                <w:rFonts w:ascii="Times New Roman" w:hAnsi="Times New Roman" w:eastAsia="宋体"/>
                <w:color w:val="000000"/>
                <w:kern w:val="0"/>
                <w:sz w:val="22"/>
              </w:rPr>
            </w:pPr>
          </w:p>
        </w:tc>
        <w:tc>
          <w:tcPr>
            <w:tcW w:w="1701"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23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5"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52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c>
          <w:tcPr>
            <w:tcW w:w="1756" w:type="dxa"/>
            <w:tcBorders>
              <w:top w:val="nil"/>
              <w:left w:val="nil"/>
              <w:bottom w:val="single" w:color="000000" w:sz="4" w:space="0"/>
              <w:right w:val="single" w:color="000000" w:sz="4" w:space="0"/>
            </w:tcBorders>
            <w:noWrap/>
            <w:vAlign w:val="center"/>
          </w:tcPr>
          <w:p>
            <w:pPr>
              <w:widowControl/>
              <w:spacing w:line="400" w:lineRule="exact"/>
              <w:jc w:val="right"/>
              <w:rPr>
                <w:rFonts w:ascii="Times New Roman" w:hAnsi="Times New Roman" w:eastAsia="宋体"/>
                <w:color w:val="000000"/>
                <w:kern w:val="0"/>
                <w:sz w:val="22"/>
              </w:rPr>
            </w:pPr>
          </w:p>
        </w:tc>
      </w:tr>
    </w:tbl>
    <w:p>
      <w:pPr>
        <w:widowControl/>
        <w:spacing w:line="400" w:lineRule="exact"/>
        <w:jc w:val="left"/>
        <w:rPr>
          <w:rFonts w:ascii="Times New Roman" w:hAnsi="Times New Roman" w:eastAsia="宋体"/>
          <w:color w:val="000000"/>
          <w:kern w:val="0"/>
          <w:sz w:val="22"/>
        </w:rPr>
      </w:pPr>
      <w:r>
        <w:rPr>
          <w:rFonts w:ascii="Times New Roman" w:hAnsi="Times New Roman" w:eastAsia="宋体"/>
          <w:color w:val="000000"/>
          <w:kern w:val="0"/>
          <w:sz w:val="22"/>
        </w:rPr>
        <w:t>注：本表反映部门本年度政府性基金预算财政拨款收入、支出及结转和结余情况。</w:t>
      </w:r>
    </w:p>
    <w:p>
      <w:pPr>
        <w:rPr>
          <w:rFonts w:ascii="Times New Roman" w:hAnsi="Times New Roman"/>
        </w:rPr>
      </w:pPr>
    </w:p>
    <w:p>
      <w:pPr>
        <w:rPr>
          <w:rFonts w:ascii="Times New Roman" w:hAnsi="Times New Roman"/>
        </w:rPr>
        <w:sectPr>
          <w:pgSz w:w="16838" w:h="11906" w:orient="landscape"/>
          <w:pgMar w:top="1701" w:right="1701" w:bottom="1701" w:left="1701" w:header="851" w:footer="1134" w:gutter="0"/>
          <w:cols w:space="720" w:num="1"/>
          <w:docGrid w:type="lines" w:linePitch="610" w:charSpace="-3336"/>
        </w:sectPr>
      </w:pPr>
    </w:p>
    <w:p>
      <w:pPr>
        <w:widowControl/>
        <w:tabs>
          <w:tab w:val="left" w:pos="258"/>
          <w:tab w:val="left" w:pos="680"/>
          <w:tab w:val="left" w:pos="1020"/>
          <w:tab w:val="left" w:pos="4960"/>
          <w:tab w:val="left" w:pos="6640"/>
          <w:tab w:val="left" w:pos="8320"/>
        </w:tabs>
        <w:spacing w:line="500" w:lineRule="exact"/>
        <w:jc w:val="left"/>
        <w:rPr>
          <w:rFonts w:ascii="Times New Roman" w:hAnsi="Times New Roman" w:eastAsia="宋体"/>
          <w:color w:val="000000"/>
          <w:kern w:val="0"/>
          <w:sz w:val="30"/>
          <w:szCs w:val="30"/>
        </w:rPr>
      </w:pPr>
    </w:p>
    <w:p>
      <w:pPr>
        <w:widowControl/>
        <w:tabs>
          <w:tab w:val="left" w:pos="258"/>
          <w:tab w:val="left" w:pos="680"/>
          <w:tab w:val="left" w:pos="1020"/>
          <w:tab w:val="left" w:pos="4960"/>
          <w:tab w:val="left" w:pos="6640"/>
          <w:tab w:val="left" w:pos="8320"/>
        </w:tabs>
        <w:spacing w:line="500" w:lineRule="exact"/>
        <w:jc w:val="center"/>
        <w:rPr>
          <w:rFonts w:ascii="Times New Roman" w:hAnsi="Times New Roman" w:eastAsia="方正小标宋简体"/>
          <w:color w:val="000000"/>
          <w:kern w:val="0"/>
          <w:sz w:val="44"/>
          <w:szCs w:val="44"/>
        </w:rPr>
      </w:pPr>
      <w:r>
        <w:rPr>
          <w:rFonts w:ascii="Times New Roman" w:hAnsi="Times New Roman" w:eastAsia="方正小标宋简体"/>
          <w:color w:val="000000"/>
          <w:kern w:val="0"/>
          <w:sz w:val="44"/>
          <w:szCs w:val="44"/>
        </w:rPr>
        <w:t>国有资本经营预算财政拨款支出决算表</w:t>
      </w:r>
    </w:p>
    <w:tbl>
      <w:tblPr>
        <w:tblStyle w:val="6"/>
        <w:tblW w:w="9072" w:type="dxa"/>
        <w:jc w:val="center"/>
        <w:tblLayout w:type="fixed"/>
        <w:tblCellMar>
          <w:top w:w="0" w:type="dxa"/>
          <w:left w:w="28" w:type="dxa"/>
          <w:bottom w:w="0" w:type="dxa"/>
          <w:right w:w="28" w:type="dxa"/>
        </w:tblCellMar>
      </w:tblPr>
      <w:tblGrid>
        <w:gridCol w:w="4494"/>
        <w:gridCol w:w="1526"/>
        <w:gridCol w:w="1526"/>
        <w:gridCol w:w="1526"/>
      </w:tblGrid>
      <w:tr>
        <w:tblPrEx>
          <w:tblCellMar>
            <w:top w:w="0" w:type="dxa"/>
            <w:left w:w="28" w:type="dxa"/>
            <w:bottom w:w="0" w:type="dxa"/>
            <w:right w:w="28" w:type="dxa"/>
          </w:tblCellMar>
        </w:tblPrEx>
        <w:trPr>
          <w:trHeight w:val="255" w:hRule="atLeast"/>
          <w:jc w:val="center"/>
        </w:trPr>
        <w:tc>
          <w:tcPr>
            <w:tcW w:w="4960" w:type="dxa"/>
            <w:noWrap/>
            <w:vAlign w:val="bottom"/>
          </w:tcPr>
          <w:p>
            <w:pPr>
              <w:widowControl/>
              <w:spacing w:line="300" w:lineRule="exact"/>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部门：武当山道教事务服务中心</w:t>
            </w:r>
          </w:p>
        </w:tc>
        <w:tc>
          <w:tcPr>
            <w:tcW w:w="1680" w:type="dxa"/>
            <w:noWrap/>
            <w:vAlign w:val="bottom"/>
          </w:tcPr>
          <w:p>
            <w:pPr>
              <w:widowControl/>
              <w:spacing w:line="300" w:lineRule="exact"/>
              <w:jc w:val="left"/>
              <w:rPr>
                <w:rFonts w:ascii="Times New Roman" w:hAnsi="Times New Roman" w:eastAsia="宋体"/>
                <w:color w:val="000000"/>
                <w:kern w:val="0"/>
                <w:sz w:val="20"/>
                <w:szCs w:val="20"/>
              </w:rPr>
            </w:pPr>
          </w:p>
        </w:tc>
        <w:tc>
          <w:tcPr>
            <w:tcW w:w="1680" w:type="dxa"/>
            <w:noWrap/>
            <w:vAlign w:val="bottom"/>
          </w:tcPr>
          <w:p>
            <w:pPr>
              <w:widowControl/>
              <w:spacing w:line="300" w:lineRule="exact"/>
              <w:jc w:val="left"/>
              <w:rPr>
                <w:rFonts w:ascii="Times New Roman" w:hAnsi="Times New Roman" w:eastAsia="宋体"/>
                <w:color w:val="000000"/>
                <w:kern w:val="0"/>
                <w:sz w:val="20"/>
                <w:szCs w:val="20"/>
              </w:rPr>
            </w:pPr>
          </w:p>
        </w:tc>
        <w:tc>
          <w:tcPr>
            <w:tcW w:w="1680" w:type="dxa"/>
            <w:noWrap/>
            <w:vAlign w:val="bottom"/>
          </w:tcPr>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公开09表</w:t>
            </w:r>
          </w:p>
          <w:p>
            <w:pPr>
              <w:widowControl/>
              <w:spacing w:line="300" w:lineRule="exact"/>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金额单位：万元</w:t>
            </w:r>
          </w:p>
        </w:tc>
      </w:tr>
    </w:tbl>
    <w:p>
      <w:pPr>
        <w:spacing w:line="40" w:lineRule="exact"/>
        <w:rPr>
          <w:rFonts w:ascii="Times New Roman" w:hAnsi="Times New Roman"/>
        </w:rPr>
      </w:pPr>
    </w:p>
    <w:tbl>
      <w:tblPr>
        <w:tblStyle w:val="6"/>
        <w:tblW w:w="9072"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28" w:type="dxa"/>
          <w:bottom w:w="0" w:type="dxa"/>
          <w:right w:w="28" w:type="dxa"/>
        </w:tblCellMar>
      </w:tblPr>
      <w:tblGrid>
        <w:gridCol w:w="930"/>
        <w:gridCol w:w="3567"/>
        <w:gridCol w:w="1525"/>
        <w:gridCol w:w="1525"/>
        <w:gridCol w:w="1525"/>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4497" w:type="dxa"/>
            <w:gridSpan w:val="2"/>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w:t>
            </w:r>
          </w:p>
        </w:tc>
        <w:tc>
          <w:tcPr>
            <w:tcW w:w="4575" w:type="dxa"/>
            <w:gridSpan w:val="3"/>
            <w:shd w:val="clear" w:color="FFFFFF" w:fill="C0C0C0"/>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本年支出</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shd w:val="clear" w:color="FFFFFF" w:fill="C0C0C0"/>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功能分类科目编码</w:t>
            </w:r>
          </w:p>
        </w:tc>
        <w:tc>
          <w:tcPr>
            <w:tcW w:w="3567" w:type="dxa"/>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科目名称</w:t>
            </w:r>
          </w:p>
        </w:tc>
        <w:tc>
          <w:tcPr>
            <w:tcW w:w="1525" w:type="dxa"/>
            <w:shd w:val="clear" w:color="FFFFFF" w:fill="C0C0C0"/>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合计</w:t>
            </w:r>
          </w:p>
        </w:tc>
        <w:tc>
          <w:tcPr>
            <w:tcW w:w="1525" w:type="dxa"/>
            <w:shd w:val="clear" w:color="FFFFFF" w:fill="C0C0C0"/>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基本支出</w:t>
            </w:r>
          </w:p>
        </w:tc>
        <w:tc>
          <w:tcPr>
            <w:tcW w:w="1525" w:type="dxa"/>
            <w:shd w:val="clear" w:color="FFFFFF" w:fill="C0C0C0"/>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项目支出</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4497" w:type="dxa"/>
            <w:gridSpan w:val="2"/>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栏次</w:t>
            </w:r>
          </w:p>
        </w:tc>
        <w:tc>
          <w:tcPr>
            <w:tcW w:w="1525" w:type="dxa"/>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1</w:t>
            </w:r>
          </w:p>
        </w:tc>
        <w:tc>
          <w:tcPr>
            <w:tcW w:w="1525" w:type="dxa"/>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2</w:t>
            </w:r>
          </w:p>
        </w:tc>
        <w:tc>
          <w:tcPr>
            <w:tcW w:w="1525" w:type="dxa"/>
            <w:shd w:val="clear" w:color="FFFFFF" w:fill="C0C0C0"/>
            <w:noWrap/>
            <w:vAlign w:val="center"/>
          </w:tcPr>
          <w:p>
            <w:pPr>
              <w:widowControl/>
              <w:spacing w:line="360" w:lineRule="exact"/>
              <w:jc w:val="center"/>
              <w:rPr>
                <w:rFonts w:ascii="Times New Roman" w:hAnsi="Times New Roman" w:eastAsia="黑体"/>
                <w:color w:val="000000"/>
                <w:kern w:val="0"/>
                <w:sz w:val="22"/>
              </w:rPr>
            </w:pPr>
            <w:r>
              <w:rPr>
                <w:rFonts w:ascii="Times New Roman" w:hAnsi="Times New Roman" w:eastAsia="黑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4497" w:type="dxa"/>
            <w:gridSpan w:val="2"/>
            <w:shd w:val="clear" w:color="FFFFFF" w:fill="C0C0C0"/>
            <w:noWrap/>
            <w:vAlign w:val="center"/>
          </w:tcPr>
          <w:p>
            <w:pPr>
              <w:widowControl/>
              <w:spacing w:line="360" w:lineRule="exact"/>
              <w:jc w:val="center"/>
              <w:rPr>
                <w:rFonts w:ascii="Times New Roman" w:hAnsi="Times New Roman" w:eastAsia="宋体"/>
                <w:color w:val="000000"/>
                <w:kern w:val="0"/>
                <w:sz w:val="22"/>
              </w:rPr>
            </w:pPr>
            <w:r>
              <w:rPr>
                <w:rFonts w:ascii="Times New Roman" w:hAnsi="Times New Roman" w:eastAsia="宋体"/>
                <w:color w:val="000000"/>
                <w:kern w:val="0"/>
                <w:sz w:val="22"/>
              </w:rPr>
              <w:t>合计</w:t>
            </w:r>
          </w:p>
        </w:tc>
        <w:tc>
          <w:tcPr>
            <w:tcW w:w="1525" w:type="dxa"/>
            <w:noWrap/>
            <w:vAlign w:val="center"/>
          </w:tcPr>
          <w:p>
            <w:pPr>
              <w:widowControl/>
              <w:spacing w:line="360" w:lineRule="exact"/>
              <w:jc w:val="right"/>
              <w:rPr>
                <w:rFonts w:ascii="Times New Roman" w:hAnsi="Times New Roman" w:eastAsia="宋体"/>
                <w:b/>
                <w:bCs/>
                <w:color w:val="000000"/>
                <w:kern w:val="0"/>
                <w:sz w:val="22"/>
              </w:rPr>
            </w:pPr>
            <w:r>
              <w:rPr>
                <w:rFonts w:ascii="Times New Roman" w:hAnsi="Times New Roman" w:eastAsia="宋体"/>
                <w:b/>
                <w:bCs/>
                <w:color w:val="000000"/>
                <w:kern w:val="0"/>
                <w:sz w:val="22"/>
              </w:rPr>
              <w:t>　</w:t>
            </w:r>
          </w:p>
        </w:tc>
        <w:tc>
          <w:tcPr>
            <w:tcW w:w="1525" w:type="dxa"/>
            <w:noWrap/>
            <w:vAlign w:val="center"/>
          </w:tcPr>
          <w:p>
            <w:pPr>
              <w:widowControl/>
              <w:spacing w:line="360" w:lineRule="exact"/>
              <w:jc w:val="right"/>
              <w:rPr>
                <w:rFonts w:ascii="Times New Roman" w:hAnsi="Times New Roman" w:eastAsia="宋体"/>
                <w:b/>
                <w:bCs/>
                <w:color w:val="000000"/>
                <w:kern w:val="0"/>
                <w:sz w:val="22"/>
              </w:rPr>
            </w:pPr>
            <w:r>
              <w:rPr>
                <w:rFonts w:ascii="Times New Roman" w:hAnsi="Times New Roman" w:eastAsia="宋体"/>
                <w:b/>
                <w:bCs/>
                <w:color w:val="000000"/>
                <w:kern w:val="0"/>
                <w:sz w:val="22"/>
              </w:rPr>
              <w:t>　</w:t>
            </w:r>
          </w:p>
        </w:tc>
        <w:tc>
          <w:tcPr>
            <w:tcW w:w="1525" w:type="dxa"/>
            <w:noWrap/>
            <w:vAlign w:val="center"/>
          </w:tcPr>
          <w:p>
            <w:pPr>
              <w:widowControl/>
              <w:spacing w:line="360" w:lineRule="exact"/>
              <w:jc w:val="right"/>
              <w:rPr>
                <w:rFonts w:ascii="Times New Roman" w:hAnsi="Times New Roman" w:eastAsia="宋体"/>
                <w:b/>
                <w:bCs/>
                <w:color w:val="000000"/>
                <w:kern w:val="0"/>
                <w:sz w:val="22"/>
              </w:rPr>
            </w:pPr>
            <w:r>
              <w:rPr>
                <w:rFonts w:ascii="Times New Roman" w:hAnsi="Times New Roman" w:eastAsia="宋体"/>
                <w:b/>
                <w:bCs/>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930" w:type="dxa"/>
            <w:noWrap/>
            <w:vAlign w:val="center"/>
          </w:tcPr>
          <w:p>
            <w:pPr>
              <w:widowControl/>
              <w:spacing w:line="360" w:lineRule="exact"/>
              <w:jc w:val="left"/>
              <w:rPr>
                <w:rFonts w:ascii="Times New Roman" w:hAnsi="Times New Roman" w:eastAsia="宋体"/>
                <w:color w:val="000000"/>
                <w:kern w:val="0"/>
                <w:sz w:val="22"/>
              </w:rPr>
            </w:pPr>
          </w:p>
        </w:tc>
        <w:tc>
          <w:tcPr>
            <w:tcW w:w="3567" w:type="dxa"/>
            <w:noWrap/>
            <w:vAlign w:val="center"/>
          </w:tcPr>
          <w:p>
            <w:pPr>
              <w:widowControl/>
              <w:spacing w:line="360" w:lineRule="exact"/>
              <w:jc w:val="left"/>
              <w:rPr>
                <w:rFonts w:ascii="Times New Roman" w:hAnsi="Times New Roman" w:eastAsia="宋体"/>
                <w:color w:val="000000"/>
                <w:kern w:val="0"/>
                <w:sz w:val="22"/>
              </w:rPr>
            </w:pP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c>
          <w:tcPr>
            <w:tcW w:w="1525" w:type="dxa"/>
            <w:noWrap/>
            <w:vAlign w:val="center"/>
          </w:tcPr>
          <w:p>
            <w:pPr>
              <w:widowControl/>
              <w:spacing w:line="360" w:lineRule="exact"/>
              <w:jc w:val="right"/>
              <w:rPr>
                <w:rFonts w:ascii="Times New Roman" w:hAnsi="Times New Roman" w:eastAsia="宋体"/>
                <w:color w:val="000000"/>
                <w:kern w:val="0"/>
                <w:sz w:val="22"/>
              </w:rPr>
            </w:pPr>
            <w:r>
              <w:rPr>
                <w:rFonts w:ascii="Times New Roman" w:hAnsi="Times New Roman" w:eastAsia="宋体"/>
                <w:color w:val="000000"/>
                <w:kern w:val="0"/>
                <w:sz w:val="22"/>
              </w:rPr>
              <w:t>　</w:t>
            </w:r>
          </w:p>
        </w:tc>
      </w:tr>
    </w:tbl>
    <w:p>
      <w:pPr>
        <w:widowControl/>
        <w:spacing w:line="360" w:lineRule="exact"/>
        <w:jc w:val="left"/>
        <w:rPr>
          <w:rFonts w:ascii="Times New Roman" w:hAnsi="Times New Roman" w:eastAsia="宋体"/>
          <w:color w:val="000000"/>
          <w:kern w:val="0"/>
          <w:sz w:val="22"/>
        </w:rPr>
      </w:pPr>
      <w:r>
        <w:rPr>
          <w:rFonts w:ascii="Times New Roman" w:hAnsi="Times New Roman" w:eastAsia="宋体"/>
          <w:color w:val="000000"/>
          <w:kern w:val="0"/>
          <w:sz w:val="22"/>
        </w:rPr>
        <w:t>注：本表反映部门本年度国有资本经营预算财政拨款支出情况。</w:t>
      </w:r>
    </w:p>
    <w:p>
      <w:pPr>
        <w:spacing w:line="500" w:lineRule="exact"/>
        <w:rPr>
          <w:rFonts w:ascii="Times New Roman" w:hAnsi="Times New Roman"/>
        </w:rPr>
      </w:pPr>
      <w:r>
        <w:rPr>
          <w:rFonts w:ascii="Times New Roman" w:hAnsi="Times New Roman"/>
        </w:rPr>
        <w:br w:type="page"/>
      </w:r>
    </w:p>
    <w:p>
      <w:pPr>
        <w:spacing w:line="500" w:lineRule="exact"/>
        <w:rPr>
          <w:rFonts w:ascii="Times New Roman" w:hAnsi="Times New Roman" w:eastAsia="黑体"/>
          <w:kern w:val="0"/>
          <w:sz w:val="24"/>
          <w:szCs w:val="24"/>
        </w:rPr>
      </w:pPr>
      <w:r>
        <w:rPr>
          <w:rFonts w:ascii="Times New Roman" w:hAnsi="Times New Roman" w:eastAsia="黑体"/>
          <w:kern w:val="0"/>
          <w:sz w:val="24"/>
          <w:szCs w:val="24"/>
        </w:rPr>
        <w:t>附件1-1</w:t>
      </w:r>
    </w:p>
    <w:p>
      <w:pPr>
        <w:widowControl/>
        <w:spacing w:line="500" w:lineRule="exact"/>
        <w:ind w:left="108"/>
        <w:jc w:val="left"/>
        <w:rPr>
          <w:rFonts w:ascii="Times New Roman" w:hAnsi="Times New Roman"/>
        </w:rPr>
      </w:pPr>
    </w:p>
    <w:p>
      <w:pPr>
        <w:widowControl/>
        <w:spacing w:line="500" w:lineRule="exact"/>
        <w:jc w:val="center"/>
        <w:rPr>
          <w:rFonts w:ascii="Times New Roman" w:hAnsi="Times New Roman" w:eastAsia="方正小标宋简体"/>
          <w:bCs/>
          <w:color w:val="000000"/>
          <w:kern w:val="0"/>
          <w:sz w:val="40"/>
          <w:szCs w:val="40"/>
        </w:rPr>
      </w:pPr>
      <w:r>
        <w:rPr>
          <w:rFonts w:hint="eastAsia" w:ascii="Times New Roman" w:hAnsi="Times New Roman" w:eastAsia="方正小标宋简体"/>
          <w:bCs/>
          <w:color w:val="000000"/>
          <w:kern w:val="0"/>
          <w:sz w:val="40"/>
          <w:szCs w:val="40"/>
        </w:rPr>
        <w:t>道教服务工作专项经费</w:t>
      </w:r>
      <w:r>
        <w:rPr>
          <w:rFonts w:ascii="Times New Roman" w:hAnsi="Times New Roman" w:eastAsia="方正小标宋简体"/>
          <w:bCs/>
          <w:color w:val="000000"/>
          <w:kern w:val="0"/>
          <w:sz w:val="40"/>
          <w:szCs w:val="40"/>
        </w:rPr>
        <w:t>项目绩效自评表</w:t>
      </w:r>
    </w:p>
    <w:p>
      <w:pPr>
        <w:widowControl/>
        <w:spacing w:line="500" w:lineRule="exact"/>
        <w:jc w:val="center"/>
        <w:rPr>
          <w:rFonts w:ascii="Times New Roman" w:hAnsi="Times New Roman" w:eastAsia="楷体"/>
          <w:color w:val="000000"/>
          <w:kern w:val="0"/>
          <w:sz w:val="22"/>
        </w:rPr>
      </w:pPr>
      <w:r>
        <w:rPr>
          <w:rFonts w:ascii="Times New Roman" w:hAnsi="Times New Roman" w:eastAsia="楷体"/>
          <w:color w:val="000000"/>
          <w:kern w:val="0"/>
          <w:sz w:val="22"/>
        </w:rPr>
        <w:t>（2021年度）</w:t>
      </w:r>
    </w:p>
    <w:tbl>
      <w:tblPr>
        <w:tblStyle w:val="6"/>
        <w:tblW w:w="881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026"/>
        <w:gridCol w:w="969"/>
        <w:gridCol w:w="838"/>
        <w:gridCol w:w="1371"/>
        <w:gridCol w:w="1198"/>
        <w:gridCol w:w="58"/>
        <w:gridCol w:w="1076"/>
        <w:gridCol w:w="469"/>
        <w:gridCol w:w="690"/>
        <w:gridCol w:w="112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2833" w:type="dxa"/>
            <w:gridSpan w:val="3"/>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项目名称</w:t>
            </w:r>
          </w:p>
        </w:tc>
        <w:tc>
          <w:tcPr>
            <w:tcW w:w="2627" w:type="dxa"/>
            <w:gridSpan w:val="3"/>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道教服务工作专项经费</w:t>
            </w:r>
          </w:p>
        </w:tc>
        <w:tc>
          <w:tcPr>
            <w:tcW w:w="1545" w:type="dxa"/>
            <w:gridSpan w:val="2"/>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项目编码</w:t>
            </w:r>
          </w:p>
        </w:tc>
        <w:tc>
          <w:tcPr>
            <w:tcW w:w="1813" w:type="dxa"/>
            <w:gridSpan w:val="2"/>
            <w:vAlign w:val="center"/>
          </w:tcPr>
          <w:p>
            <w:pPr>
              <w:widowControl/>
              <w:spacing w:line="320" w:lineRule="exact"/>
              <w:jc w:val="center"/>
              <w:rPr>
                <w:rFonts w:ascii="Times New Roman" w:hAnsi="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2833" w:type="dxa"/>
            <w:gridSpan w:val="3"/>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主管部门</w:t>
            </w:r>
          </w:p>
        </w:tc>
        <w:tc>
          <w:tcPr>
            <w:tcW w:w="2627" w:type="dxa"/>
            <w:gridSpan w:val="3"/>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武当山道教事务服务中心</w:t>
            </w:r>
          </w:p>
        </w:tc>
        <w:tc>
          <w:tcPr>
            <w:tcW w:w="1545" w:type="dxa"/>
            <w:gridSpan w:val="2"/>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项目实施单位</w:t>
            </w:r>
          </w:p>
        </w:tc>
        <w:tc>
          <w:tcPr>
            <w:tcW w:w="1813" w:type="dxa"/>
            <w:gridSpan w:val="2"/>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武当山道教事务服务中心</w:t>
            </w:r>
            <w:r>
              <w:rPr>
                <w:rFonts w:ascii="Times New Roman" w:hAnsi="Times New Roman"/>
                <w:color w:val="000000"/>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2833" w:type="dxa"/>
            <w:gridSpan w:val="3"/>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项目类别</w:t>
            </w:r>
          </w:p>
        </w:tc>
        <w:tc>
          <w:tcPr>
            <w:tcW w:w="5985" w:type="dxa"/>
            <w:gridSpan w:val="7"/>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1.部门预算项目</w:t>
            </w:r>
            <w:r>
              <w:rPr>
                <w:rFonts w:ascii="Times New Roman" w:hAnsi="Times New Roman" w:eastAsia="宋体"/>
                <w:color w:val="000000"/>
                <w:kern w:val="0"/>
                <w:sz w:val="21"/>
                <w:szCs w:val="21"/>
              </w:rPr>
              <w:t>■</w:t>
            </w:r>
            <w:r>
              <w:rPr>
                <w:rFonts w:ascii="Times New Roman" w:hAnsi="Times New Roman"/>
                <w:color w:val="000000"/>
                <w:kern w:val="0"/>
                <w:sz w:val="21"/>
                <w:szCs w:val="21"/>
              </w:rPr>
              <w:t xml:space="preserve">     2.市直专项□     3.市对下转移支付□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2833" w:type="dxa"/>
            <w:gridSpan w:val="3"/>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项目属性</w:t>
            </w:r>
          </w:p>
        </w:tc>
        <w:tc>
          <w:tcPr>
            <w:tcW w:w="5985" w:type="dxa"/>
            <w:gridSpan w:val="7"/>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1.持续性项目  ■     2. 新增性项目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2833" w:type="dxa"/>
            <w:gridSpan w:val="3"/>
            <w:noWrap/>
            <w:vAlign w:val="center"/>
          </w:tcPr>
          <w:p>
            <w:pPr>
              <w:widowControl/>
              <w:spacing w:line="320" w:lineRule="exact"/>
              <w:jc w:val="left"/>
              <w:rPr>
                <w:rFonts w:ascii="Times New Roman" w:hAnsi="Times New Roman" w:eastAsia="宋体"/>
                <w:color w:val="000000"/>
                <w:kern w:val="0"/>
                <w:sz w:val="21"/>
                <w:szCs w:val="21"/>
              </w:rPr>
            </w:pPr>
            <w:r>
              <w:rPr>
                <w:rFonts w:ascii="Times New Roman" w:hAnsi="Times New Roman"/>
                <w:color w:val="000000"/>
                <w:kern w:val="0"/>
                <w:sz w:val="21"/>
                <w:szCs w:val="21"/>
              </w:rPr>
              <w:t>项目类型</w:t>
            </w:r>
          </w:p>
        </w:tc>
        <w:tc>
          <w:tcPr>
            <w:tcW w:w="5985" w:type="dxa"/>
            <w:gridSpan w:val="7"/>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1.常年性项目  ■     2. 延续性项目  □   3.一次性项目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1995" w:type="dxa"/>
            <w:gridSpan w:val="2"/>
            <w:vMerge w:val="restart"/>
            <w:tcBorders>
              <w:right w:val="single" w:color="auto" w:sz="8" w:space="0"/>
            </w:tcBorders>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预算执行情况（万元）</w:t>
            </w:r>
            <w:r>
              <w:rPr>
                <w:rFonts w:ascii="Times New Roman" w:hAnsi="Times New Roman"/>
                <w:kern w:val="0"/>
                <w:sz w:val="21"/>
                <w:szCs w:val="21"/>
              </w:rPr>
              <w:br w:type="textWrapping"/>
            </w:r>
            <w:r>
              <w:rPr>
                <w:rFonts w:ascii="Times New Roman" w:hAnsi="Times New Roman"/>
                <w:kern w:val="0"/>
                <w:sz w:val="21"/>
                <w:szCs w:val="21"/>
              </w:rPr>
              <w:t>（20分）</w:t>
            </w:r>
          </w:p>
        </w:tc>
        <w:tc>
          <w:tcPr>
            <w:tcW w:w="838" w:type="dxa"/>
            <w:tcBorders>
              <w:top w:val="single" w:color="auto" w:sz="8" w:space="0"/>
              <w:left w:val="single" w:color="auto" w:sz="8" w:space="0"/>
              <w:bottom w:val="single" w:color="auto" w:sz="8" w:space="0"/>
              <w:right w:val="single" w:color="auto" w:sz="8" w:space="0"/>
              <w:tr2bl w:val="single" w:color="auto" w:sz="8" w:space="0"/>
            </w:tcBorders>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　</w:t>
            </w:r>
          </w:p>
        </w:tc>
        <w:tc>
          <w:tcPr>
            <w:tcW w:w="1371" w:type="dxa"/>
            <w:tcBorders>
              <w:left w:val="single" w:color="auto" w:sz="8" w:space="0"/>
            </w:tcBorders>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预算数（A）</w:t>
            </w:r>
          </w:p>
        </w:tc>
        <w:tc>
          <w:tcPr>
            <w:tcW w:w="1256" w:type="dxa"/>
            <w:gridSpan w:val="2"/>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执行数（B）</w:t>
            </w:r>
          </w:p>
        </w:tc>
        <w:tc>
          <w:tcPr>
            <w:tcW w:w="1545" w:type="dxa"/>
            <w:gridSpan w:val="2"/>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执行率（B/A）</w:t>
            </w:r>
          </w:p>
        </w:tc>
        <w:tc>
          <w:tcPr>
            <w:tcW w:w="1813" w:type="dxa"/>
            <w:gridSpan w:val="2"/>
            <w:vAlign w:val="center"/>
          </w:tcPr>
          <w:p>
            <w:pPr>
              <w:widowControl/>
              <w:spacing w:line="320" w:lineRule="exact"/>
              <w:jc w:val="left"/>
              <w:rPr>
                <w:rFonts w:ascii="Times New Roman" w:hAnsi="Times New Roman"/>
                <w:color w:val="000000"/>
                <w:kern w:val="0"/>
                <w:sz w:val="21"/>
                <w:szCs w:val="21"/>
              </w:rPr>
            </w:pPr>
            <w:r>
              <w:rPr>
                <w:rFonts w:ascii="Times New Roman" w:hAnsi="Times New Roman"/>
                <w:color w:val="000000"/>
                <w:kern w:val="0"/>
                <w:sz w:val="21"/>
                <w:szCs w:val="21"/>
              </w:rPr>
              <w:t>得分（20分*执行率）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1995" w:type="dxa"/>
            <w:gridSpan w:val="2"/>
            <w:vMerge w:val="continue"/>
            <w:shd w:val="clear" w:color="auto" w:fill="auto"/>
            <w:vAlign w:val="center"/>
          </w:tcPr>
          <w:p>
            <w:pPr>
              <w:widowControl/>
              <w:spacing w:line="320" w:lineRule="exact"/>
              <w:jc w:val="left"/>
              <w:rPr>
                <w:rFonts w:ascii="Times New Roman" w:hAnsi="Times New Roman"/>
                <w:kern w:val="0"/>
                <w:sz w:val="21"/>
                <w:szCs w:val="21"/>
              </w:rPr>
            </w:pPr>
          </w:p>
        </w:tc>
        <w:tc>
          <w:tcPr>
            <w:tcW w:w="838" w:type="dxa"/>
            <w:shd w:val="clear" w:color="auto" w:fill="auto"/>
            <w:vAlign w:val="center"/>
          </w:tcPr>
          <w:p>
            <w:pPr>
              <w:widowControl/>
              <w:spacing w:line="320" w:lineRule="exact"/>
              <w:jc w:val="left"/>
              <w:rPr>
                <w:rFonts w:ascii="Times New Roman" w:hAnsi="Times New Roman"/>
                <w:kern w:val="0"/>
                <w:sz w:val="21"/>
                <w:szCs w:val="21"/>
              </w:rPr>
            </w:pPr>
            <w:r>
              <w:rPr>
                <w:rFonts w:ascii="Times New Roman" w:hAnsi="Times New Roman"/>
                <w:kern w:val="0"/>
                <w:sz w:val="21"/>
                <w:szCs w:val="21"/>
              </w:rPr>
              <w:t>年度财政资金总额</w:t>
            </w:r>
          </w:p>
        </w:tc>
        <w:tc>
          <w:tcPr>
            <w:tcW w:w="1371" w:type="dxa"/>
            <w:shd w:val="clear" w:color="000000" w:fill="FFFFFF"/>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24</w:t>
            </w:r>
          </w:p>
        </w:tc>
        <w:tc>
          <w:tcPr>
            <w:tcW w:w="1256" w:type="dxa"/>
            <w:gridSpan w:val="2"/>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24</w:t>
            </w:r>
          </w:p>
        </w:tc>
        <w:tc>
          <w:tcPr>
            <w:tcW w:w="1545" w:type="dxa"/>
            <w:gridSpan w:val="2"/>
            <w:noWrap/>
            <w:vAlign w:val="center"/>
          </w:tcPr>
          <w:p>
            <w:pPr>
              <w:widowControl/>
              <w:spacing w:line="320" w:lineRule="exact"/>
              <w:jc w:val="center"/>
              <w:rPr>
                <w:rFonts w:ascii="Times New Roman" w:hAnsi="Times New Roman"/>
                <w:color w:val="000000"/>
                <w:kern w:val="0"/>
                <w:sz w:val="21"/>
                <w:szCs w:val="21"/>
              </w:rPr>
            </w:pPr>
            <w:r>
              <w:rPr>
                <w:rFonts w:ascii="Times New Roman" w:hAnsi="Times New Roman"/>
                <w:color w:val="000000"/>
                <w:kern w:val="0"/>
                <w:sz w:val="21"/>
                <w:szCs w:val="21"/>
              </w:rPr>
              <w:t>100.00%</w:t>
            </w:r>
          </w:p>
        </w:tc>
        <w:tc>
          <w:tcPr>
            <w:tcW w:w="1813" w:type="dxa"/>
            <w:gridSpan w:val="2"/>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20.00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6" w:hRule="atLeast"/>
          <w:jc w:val="center"/>
        </w:trPr>
        <w:tc>
          <w:tcPr>
            <w:tcW w:w="8818" w:type="dxa"/>
            <w:gridSpan w:val="10"/>
            <w:vAlign w:val="center"/>
          </w:tcPr>
          <w:p>
            <w:pPr>
              <w:widowControl/>
              <w:spacing w:line="320" w:lineRule="exact"/>
              <w:jc w:val="left"/>
              <w:rPr>
                <w:rFonts w:ascii="Times New Roman" w:hAnsi="Times New Roman"/>
                <w:kern w:val="0"/>
                <w:sz w:val="21"/>
                <w:szCs w:val="21"/>
              </w:rPr>
            </w:pPr>
            <w:r>
              <w:rPr>
                <w:rFonts w:hint="eastAsia" w:ascii="Times New Roman" w:hAnsi="Times New Roman"/>
                <w:kern w:val="0"/>
                <w:sz w:val="21"/>
                <w:szCs w:val="21"/>
              </w:rPr>
              <w:t>做好武当山道协换届工作，开展好武当山道协服务联络工作（80分）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一级</w:t>
            </w:r>
            <w:r>
              <w:rPr>
                <w:rFonts w:ascii="Times New Roman" w:hAnsi="Times New Roman" w:eastAsia="黑体"/>
                <w:kern w:val="0"/>
                <w:sz w:val="21"/>
                <w:szCs w:val="21"/>
              </w:rPr>
              <w:br w:type="textWrapping"/>
            </w:r>
            <w:r>
              <w:rPr>
                <w:rFonts w:ascii="Times New Roman" w:hAnsi="Times New Roman" w:eastAsia="黑体"/>
                <w:kern w:val="0"/>
                <w:sz w:val="21"/>
                <w:szCs w:val="21"/>
              </w:rPr>
              <w:t>指标</w:t>
            </w:r>
          </w:p>
        </w:tc>
        <w:tc>
          <w:tcPr>
            <w:tcW w:w="969" w:type="dxa"/>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二级</w:t>
            </w:r>
            <w:r>
              <w:rPr>
                <w:rFonts w:ascii="Times New Roman" w:hAnsi="Times New Roman" w:eastAsia="黑体"/>
                <w:kern w:val="0"/>
                <w:sz w:val="21"/>
                <w:szCs w:val="21"/>
              </w:rPr>
              <w:br w:type="textWrapping"/>
            </w:r>
            <w:r>
              <w:rPr>
                <w:rFonts w:ascii="Times New Roman" w:hAnsi="Times New Roman" w:eastAsia="黑体"/>
                <w:kern w:val="0"/>
                <w:sz w:val="21"/>
                <w:szCs w:val="21"/>
              </w:rPr>
              <w:t>指标</w:t>
            </w:r>
          </w:p>
        </w:tc>
        <w:tc>
          <w:tcPr>
            <w:tcW w:w="3407" w:type="dxa"/>
            <w:gridSpan w:val="3"/>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三级指标</w:t>
            </w:r>
          </w:p>
        </w:tc>
        <w:tc>
          <w:tcPr>
            <w:tcW w:w="1134" w:type="dxa"/>
            <w:gridSpan w:val="2"/>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年初目标值（A)</w:t>
            </w:r>
          </w:p>
        </w:tc>
        <w:tc>
          <w:tcPr>
            <w:tcW w:w="1159" w:type="dxa"/>
            <w:gridSpan w:val="2"/>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实际完成值(B）</w:t>
            </w:r>
          </w:p>
        </w:tc>
        <w:tc>
          <w:tcPr>
            <w:tcW w:w="1123" w:type="dxa"/>
            <w:vAlign w:val="center"/>
          </w:tcPr>
          <w:p>
            <w:pPr>
              <w:widowControl/>
              <w:spacing w:line="320" w:lineRule="exact"/>
              <w:jc w:val="center"/>
              <w:rPr>
                <w:rFonts w:ascii="Times New Roman" w:hAnsi="Times New Roman" w:eastAsia="黑体"/>
                <w:kern w:val="0"/>
                <w:sz w:val="21"/>
                <w:szCs w:val="21"/>
              </w:rPr>
            </w:pPr>
            <w:r>
              <w:rPr>
                <w:rFonts w:ascii="Times New Roman" w:hAnsi="Times New Roman" w:eastAsia="黑体"/>
                <w:kern w:val="0"/>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restart"/>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产出指标</w:t>
            </w:r>
          </w:p>
          <w:p>
            <w:pPr>
              <w:spacing w:line="320" w:lineRule="exact"/>
              <w:jc w:val="center"/>
              <w:rPr>
                <w:rFonts w:ascii="Times New Roman" w:hAnsi="Times New Roman"/>
                <w:kern w:val="0"/>
                <w:sz w:val="21"/>
                <w:szCs w:val="21"/>
              </w:rPr>
            </w:pPr>
            <w:r>
              <w:rPr>
                <w:rFonts w:ascii="Times New Roman" w:hAnsi="Times New Roman"/>
                <w:kern w:val="0"/>
                <w:sz w:val="21"/>
                <w:szCs w:val="21"/>
              </w:rPr>
              <w:t>　</w:t>
            </w:r>
          </w:p>
        </w:tc>
        <w:tc>
          <w:tcPr>
            <w:tcW w:w="969" w:type="dxa"/>
            <w:vMerge w:val="restart"/>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数量指标</w:t>
            </w: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开展教职人员全覆盖式谈心谈话</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3轮</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3轮</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赴北京汇报武当山宗教相关工作</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1次</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1次</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赴湖北省省委统战部（民宗委）学习宗教事务服务工作</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1轮</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1轮</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赴其他宗教场所、庙观学习</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1次</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1次</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赴各宫观定点开展安全、宗教工作等督导检查</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25次</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25次以上</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对重要宗教界人士、武当山各宫观开展慰问</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1次</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0次</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Merge w:val="continue"/>
            <w:vAlign w:val="center"/>
          </w:tcPr>
          <w:p>
            <w:pPr>
              <w:spacing w:line="320" w:lineRule="exact"/>
              <w:jc w:val="center"/>
              <w:rPr>
                <w:rFonts w:ascii="Times New Roman" w:hAnsi="Times New Roman"/>
                <w:kern w:val="0"/>
                <w:sz w:val="21"/>
                <w:szCs w:val="21"/>
              </w:rPr>
            </w:pPr>
          </w:p>
        </w:tc>
        <w:tc>
          <w:tcPr>
            <w:tcW w:w="969" w:type="dxa"/>
            <w:vMerge w:val="continue"/>
            <w:vAlign w:val="center"/>
          </w:tcPr>
          <w:p>
            <w:pPr>
              <w:widowControl/>
              <w:spacing w:line="320" w:lineRule="exact"/>
              <w:jc w:val="left"/>
              <w:rPr>
                <w:rFonts w:ascii="Times New Roman" w:hAnsi="Times New Roman"/>
                <w:kern w:val="0"/>
                <w:sz w:val="21"/>
                <w:szCs w:val="21"/>
              </w:rPr>
            </w:pP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建设一个党与宗教界人士交流学习的园地窗口</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1个</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1个</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1026" w:type="dxa"/>
            <w:vAlign w:val="center"/>
          </w:tcPr>
          <w:p>
            <w:pPr>
              <w:widowControl/>
              <w:spacing w:line="320" w:lineRule="exact"/>
              <w:jc w:val="center"/>
              <w:rPr>
                <w:rFonts w:ascii="Times New Roman" w:hAnsi="Times New Roman"/>
                <w:kern w:val="0"/>
                <w:sz w:val="21"/>
                <w:szCs w:val="21"/>
              </w:rPr>
            </w:pPr>
            <w:r>
              <w:rPr>
                <w:rFonts w:hint="eastAsia" w:ascii="Times New Roman" w:hAnsi="Times New Roman"/>
                <w:kern w:val="0"/>
                <w:sz w:val="21"/>
                <w:szCs w:val="21"/>
              </w:rPr>
              <w:t>效益指标</w:t>
            </w:r>
          </w:p>
        </w:tc>
        <w:tc>
          <w:tcPr>
            <w:tcW w:w="969" w:type="dxa"/>
            <w:vAlign w:val="center"/>
          </w:tcPr>
          <w:p>
            <w:pPr>
              <w:widowControl/>
              <w:spacing w:line="320" w:lineRule="exact"/>
              <w:jc w:val="center"/>
              <w:rPr>
                <w:rFonts w:ascii="Times New Roman" w:hAnsi="Times New Roman"/>
                <w:kern w:val="0"/>
                <w:sz w:val="21"/>
                <w:szCs w:val="21"/>
              </w:rPr>
            </w:pPr>
            <w:r>
              <w:rPr>
                <w:rFonts w:hint="eastAsia" w:ascii="Times New Roman" w:hAnsi="Times New Roman"/>
                <w:kern w:val="0"/>
                <w:sz w:val="21"/>
                <w:szCs w:val="21"/>
              </w:rPr>
              <w:t>社会效益指标</w:t>
            </w:r>
          </w:p>
        </w:tc>
        <w:tc>
          <w:tcPr>
            <w:tcW w:w="3407" w:type="dxa"/>
            <w:gridSpan w:val="3"/>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协助开展好武当山道教协会换届选举工作，确保武当山道场的规范化</w:t>
            </w:r>
          </w:p>
        </w:tc>
        <w:tc>
          <w:tcPr>
            <w:tcW w:w="1134"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20次</w:t>
            </w:r>
          </w:p>
        </w:tc>
        <w:tc>
          <w:tcPr>
            <w:tcW w:w="1159" w:type="dxa"/>
            <w:gridSpan w:val="2"/>
            <w:vAlign w:val="center"/>
          </w:tcPr>
          <w:p>
            <w:pPr>
              <w:widowControl/>
              <w:spacing w:line="320" w:lineRule="exact"/>
              <w:rPr>
                <w:rFonts w:ascii="Times New Roman" w:hAnsi="Times New Roman"/>
                <w:color w:val="000000"/>
                <w:kern w:val="0"/>
                <w:sz w:val="21"/>
                <w:szCs w:val="21"/>
              </w:rPr>
            </w:pPr>
            <w:r>
              <w:rPr>
                <w:rFonts w:hint="eastAsia" w:ascii="Times New Roman" w:hAnsi="Times New Roman"/>
                <w:color w:val="000000"/>
                <w:kern w:val="0"/>
                <w:sz w:val="21"/>
                <w:szCs w:val="21"/>
              </w:rPr>
              <w:t>20次以上</w:t>
            </w:r>
          </w:p>
        </w:tc>
        <w:tc>
          <w:tcPr>
            <w:tcW w:w="1123" w:type="dxa"/>
            <w:vAlign w:val="center"/>
          </w:tcPr>
          <w:p>
            <w:pPr>
              <w:widowControl/>
              <w:spacing w:line="320" w:lineRule="exact"/>
              <w:jc w:val="center"/>
              <w:rPr>
                <w:rFonts w:ascii="Times New Roman" w:hAnsi="Times New Roman"/>
                <w:color w:val="000000"/>
                <w:kern w:val="0"/>
                <w:sz w:val="21"/>
                <w:szCs w:val="21"/>
              </w:rPr>
            </w:pPr>
            <w:r>
              <w:rPr>
                <w:rFonts w:hint="eastAsia" w:ascii="Times New Roman" w:hAnsi="Times New Roman"/>
                <w:color w:val="000000"/>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36" w:hRule="atLeast"/>
          <w:jc w:val="center"/>
        </w:trPr>
        <w:tc>
          <w:tcPr>
            <w:tcW w:w="7695" w:type="dxa"/>
            <w:gridSpan w:val="9"/>
            <w:vAlign w:val="center"/>
          </w:tcPr>
          <w:p>
            <w:pPr>
              <w:widowControl/>
              <w:spacing w:line="320" w:lineRule="exact"/>
              <w:jc w:val="center"/>
              <w:rPr>
                <w:rFonts w:ascii="Times New Roman" w:hAnsi="Times New Roman"/>
                <w:kern w:val="0"/>
                <w:sz w:val="21"/>
                <w:szCs w:val="21"/>
              </w:rPr>
            </w:pPr>
            <w:r>
              <w:rPr>
                <w:rFonts w:ascii="Times New Roman" w:hAnsi="Times New Roman"/>
                <w:kern w:val="0"/>
                <w:sz w:val="21"/>
                <w:szCs w:val="21"/>
              </w:rPr>
              <w:t>合计</w:t>
            </w:r>
          </w:p>
        </w:tc>
        <w:tc>
          <w:tcPr>
            <w:tcW w:w="1123" w:type="dxa"/>
            <w:vAlign w:val="center"/>
          </w:tcPr>
          <w:p>
            <w:pPr>
              <w:widowControl/>
              <w:spacing w:line="320" w:lineRule="exact"/>
              <w:jc w:val="center"/>
              <w:rPr>
                <w:rFonts w:ascii="Times New Roman" w:hAnsi="Times New Roman"/>
                <w:kern w:val="0"/>
                <w:sz w:val="21"/>
                <w:szCs w:val="21"/>
              </w:rPr>
            </w:pPr>
            <w:r>
              <w:rPr>
                <w:rFonts w:hint="eastAsia" w:ascii="Times New Roman" w:hAnsi="Times New Roman"/>
                <w:kern w:val="0"/>
                <w:sz w:val="21"/>
                <w:szCs w:val="21"/>
              </w:rPr>
              <w:t>95.00</w:t>
            </w:r>
          </w:p>
        </w:tc>
      </w:tr>
    </w:tbl>
    <w:p>
      <w:pPr>
        <w:spacing w:line="500" w:lineRule="exact"/>
        <w:rPr>
          <w:rFonts w:ascii="Times New Roman" w:hAnsi="Times New Roman"/>
        </w:rPr>
      </w:pPr>
    </w:p>
    <w:p>
      <w:pPr>
        <w:spacing w:line="500" w:lineRule="exact"/>
        <w:rPr>
          <w:rFonts w:ascii="Times New Roman" w:hAnsi="Times New Roman"/>
        </w:rPr>
      </w:pPr>
    </w:p>
    <w:sectPr>
      <w:pgSz w:w="11906" w:h="16838"/>
      <w:pgMar w:top="1701" w:right="1701" w:bottom="1701" w:left="1701" w:header="851" w:footer="1134" w:gutter="0"/>
      <w:cols w:space="720" w:num="1"/>
      <w:docGrid w:type="linesAndChars" w:linePitch="610" w:charSpace="-33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1" o:spid="_x0000_s1026" o:spt="202" type="#_x0000_t202" style="position:absolute;left:0pt;margin-top:0pt;height:13.8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">
          <v:path/>
          <v:fill on="f" focussize="0,0"/>
          <v:stroke on="f" joinstyle="miter"/>
          <v:imagedata o:title=""/>
          <o:lock v:ext="edit"/>
          <v:textbox inset="0mm,0mm,0mm,0mm" style="mso-fit-shape-to-text:t;">
            <w:txbxContent>
              <w:p>
                <w:pPr>
                  <w:pStyle w:val="3"/>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r>
                  <w:rPr>
                    <w:rFonts w:ascii="Times New Roman" w:hAnsi="Times New Roman"/>
                    <w:sz w:val="24"/>
                    <w:szCs w:val="24"/>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7607C"/>
    <w:multiLevelType w:val="singleLevel"/>
    <w:tmpl w:val="D317607C"/>
    <w:lvl w:ilvl="0" w:tentative="0">
      <w:start w:val="1"/>
      <w:numFmt w:val="decimal"/>
      <w:suff w:val="nothing"/>
      <w:lvlText w:val="%1、"/>
      <w:lvlJc w:val="left"/>
    </w:lvl>
  </w:abstractNum>
  <w:abstractNum w:abstractNumId="1">
    <w:nsid w:val="5F5E6F6E"/>
    <w:multiLevelType w:val="multilevel"/>
    <w:tmpl w:val="5F5E6F6E"/>
    <w:lvl w:ilvl="0" w:tentative="0">
      <w:start w:val="1"/>
      <w:numFmt w:val="japaneseCounting"/>
      <w:lvlText w:val="%1、"/>
      <w:lvlJc w:val="left"/>
      <w:pPr>
        <w:ind w:left="1327" w:hanging="720"/>
      </w:pPr>
      <w:rPr>
        <w:rFonts w:hint="default"/>
        <w:lang w:val="en-US"/>
      </w:rPr>
    </w:lvl>
    <w:lvl w:ilvl="1" w:tentative="0">
      <w:start w:val="1"/>
      <w:numFmt w:val="lowerLetter"/>
      <w:lvlText w:val="%2)"/>
      <w:lvlJc w:val="left"/>
      <w:pPr>
        <w:ind w:left="1447" w:hanging="420"/>
      </w:pPr>
    </w:lvl>
    <w:lvl w:ilvl="2" w:tentative="0">
      <w:start w:val="1"/>
      <w:numFmt w:val="lowerRoman"/>
      <w:lvlText w:val="%3."/>
      <w:lvlJc w:val="right"/>
      <w:pPr>
        <w:ind w:left="1867" w:hanging="420"/>
      </w:pPr>
    </w:lvl>
    <w:lvl w:ilvl="3" w:tentative="0">
      <w:start w:val="1"/>
      <w:numFmt w:val="decimal"/>
      <w:lvlText w:val="%4."/>
      <w:lvlJc w:val="left"/>
      <w:pPr>
        <w:ind w:left="2287" w:hanging="420"/>
      </w:pPr>
    </w:lvl>
    <w:lvl w:ilvl="4" w:tentative="0">
      <w:start w:val="1"/>
      <w:numFmt w:val="lowerLetter"/>
      <w:lvlText w:val="%5)"/>
      <w:lvlJc w:val="left"/>
      <w:pPr>
        <w:ind w:left="2707" w:hanging="420"/>
      </w:pPr>
    </w:lvl>
    <w:lvl w:ilvl="5" w:tentative="0">
      <w:start w:val="1"/>
      <w:numFmt w:val="lowerRoman"/>
      <w:lvlText w:val="%6."/>
      <w:lvlJc w:val="right"/>
      <w:pPr>
        <w:ind w:left="3127" w:hanging="420"/>
      </w:pPr>
    </w:lvl>
    <w:lvl w:ilvl="6" w:tentative="0">
      <w:start w:val="1"/>
      <w:numFmt w:val="decimal"/>
      <w:lvlText w:val="%7."/>
      <w:lvlJc w:val="left"/>
      <w:pPr>
        <w:ind w:left="3547" w:hanging="420"/>
      </w:pPr>
    </w:lvl>
    <w:lvl w:ilvl="7" w:tentative="0">
      <w:start w:val="1"/>
      <w:numFmt w:val="lowerLetter"/>
      <w:lvlText w:val="%8)"/>
      <w:lvlJc w:val="left"/>
      <w:pPr>
        <w:ind w:left="3967" w:hanging="420"/>
      </w:pPr>
    </w:lvl>
    <w:lvl w:ilvl="8" w:tentative="0">
      <w:start w:val="1"/>
      <w:numFmt w:val="lowerRoman"/>
      <w:lvlText w:val="%9."/>
      <w:lvlJc w:val="right"/>
      <w:pPr>
        <w:ind w:left="438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52"/>
  <w:drawingGridVerticalSpacing w:val="305"/>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BiYzE3ZGUwYWU1NjY1ZmJiYzZhYWNiYWIzZWQyN2YifQ=="/>
  </w:docVars>
  <w:rsids>
    <w:rsidRoot w:val="00102CEB"/>
    <w:rsid w:val="000113C5"/>
    <w:rsid w:val="0001302B"/>
    <w:rsid w:val="00015BBC"/>
    <w:rsid w:val="00017760"/>
    <w:rsid w:val="00020223"/>
    <w:rsid w:val="0002515E"/>
    <w:rsid w:val="00032AC0"/>
    <w:rsid w:val="00037EC6"/>
    <w:rsid w:val="000433E5"/>
    <w:rsid w:val="00043699"/>
    <w:rsid w:val="0004774E"/>
    <w:rsid w:val="00047CFB"/>
    <w:rsid w:val="000530EF"/>
    <w:rsid w:val="00054647"/>
    <w:rsid w:val="000557B7"/>
    <w:rsid w:val="00056DFE"/>
    <w:rsid w:val="00064150"/>
    <w:rsid w:val="00074305"/>
    <w:rsid w:val="00076FCA"/>
    <w:rsid w:val="0008648E"/>
    <w:rsid w:val="0009691A"/>
    <w:rsid w:val="000A3470"/>
    <w:rsid w:val="000A549A"/>
    <w:rsid w:val="000A7616"/>
    <w:rsid w:val="000B3C86"/>
    <w:rsid w:val="000B68C9"/>
    <w:rsid w:val="000B7330"/>
    <w:rsid w:val="000C4C1B"/>
    <w:rsid w:val="000C75BE"/>
    <w:rsid w:val="000D28C6"/>
    <w:rsid w:val="000E7363"/>
    <w:rsid w:val="000F0D3A"/>
    <w:rsid w:val="000F2378"/>
    <w:rsid w:val="000F62CA"/>
    <w:rsid w:val="00102CEB"/>
    <w:rsid w:val="001034D7"/>
    <w:rsid w:val="00114484"/>
    <w:rsid w:val="00120A86"/>
    <w:rsid w:val="00122891"/>
    <w:rsid w:val="0012435E"/>
    <w:rsid w:val="00125FA5"/>
    <w:rsid w:val="001324BD"/>
    <w:rsid w:val="00132ECB"/>
    <w:rsid w:val="00133335"/>
    <w:rsid w:val="00133A83"/>
    <w:rsid w:val="00134F53"/>
    <w:rsid w:val="0014501F"/>
    <w:rsid w:val="00151CC2"/>
    <w:rsid w:val="0015225B"/>
    <w:rsid w:val="00154C89"/>
    <w:rsid w:val="001702DD"/>
    <w:rsid w:val="00175DAD"/>
    <w:rsid w:val="00180EC1"/>
    <w:rsid w:val="001836D0"/>
    <w:rsid w:val="00186FF0"/>
    <w:rsid w:val="001A1C32"/>
    <w:rsid w:val="001A67C7"/>
    <w:rsid w:val="001A6EB1"/>
    <w:rsid w:val="001B59A2"/>
    <w:rsid w:val="001D0180"/>
    <w:rsid w:val="001D5C25"/>
    <w:rsid w:val="001F35AD"/>
    <w:rsid w:val="00200025"/>
    <w:rsid w:val="00200394"/>
    <w:rsid w:val="00204CCA"/>
    <w:rsid w:val="00205B00"/>
    <w:rsid w:val="00215F6C"/>
    <w:rsid w:val="00216728"/>
    <w:rsid w:val="00226ACE"/>
    <w:rsid w:val="002436C3"/>
    <w:rsid w:val="002470AC"/>
    <w:rsid w:val="00251A8A"/>
    <w:rsid w:val="00273652"/>
    <w:rsid w:val="0028042E"/>
    <w:rsid w:val="002834E7"/>
    <w:rsid w:val="002840A9"/>
    <w:rsid w:val="0028521E"/>
    <w:rsid w:val="002869CC"/>
    <w:rsid w:val="002A1465"/>
    <w:rsid w:val="002A2C3D"/>
    <w:rsid w:val="002A5DF7"/>
    <w:rsid w:val="002A6C01"/>
    <w:rsid w:val="002C21F6"/>
    <w:rsid w:val="002C443A"/>
    <w:rsid w:val="002D17CB"/>
    <w:rsid w:val="002D19D2"/>
    <w:rsid w:val="002D69B6"/>
    <w:rsid w:val="002E6E25"/>
    <w:rsid w:val="002F17B5"/>
    <w:rsid w:val="00323C21"/>
    <w:rsid w:val="0032409F"/>
    <w:rsid w:val="00324988"/>
    <w:rsid w:val="003272DA"/>
    <w:rsid w:val="00337133"/>
    <w:rsid w:val="003379ED"/>
    <w:rsid w:val="00341709"/>
    <w:rsid w:val="00345B0A"/>
    <w:rsid w:val="00345FE5"/>
    <w:rsid w:val="00347BD3"/>
    <w:rsid w:val="0035648C"/>
    <w:rsid w:val="00360093"/>
    <w:rsid w:val="0036131A"/>
    <w:rsid w:val="00364D48"/>
    <w:rsid w:val="00373C2F"/>
    <w:rsid w:val="00396248"/>
    <w:rsid w:val="00396C8A"/>
    <w:rsid w:val="003A2706"/>
    <w:rsid w:val="003A68BF"/>
    <w:rsid w:val="003B06B6"/>
    <w:rsid w:val="003B170D"/>
    <w:rsid w:val="003B4960"/>
    <w:rsid w:val="003C6153"/>
    <w:rsid w:val="003C6471"/>
    <w:rsid w:val="003D4115"/>
    <w:rsid w:val="003E069F"/>
    <w:rsid w:val="003F6A54"/>
    <w:rsid w:val="00404B3E"/>
    <w:rsid w:val="004125E2"/>
    <w:rsid w:val="004163C2"/>
    <w:rsid w:val="00416996"/>
    <w:rsid w:val="00417DD9"/>
    <w:rsid w:val="00431C72"/>
    <w:rsid w:val="0043337D"/>
    <w:rsid w:val="00435DB2"/>
    <w:rsid w:val="00440506"/>
    <w:rsid w:val="00443B2A"/>
    <w:rsid w:val="00446095"/>
    <w:rsid w:val="00464645"/>
    <w:rsid w:val="004708EE"/>
    <w:rsid w:val="00480C0E"/>
    <w:rsid w:val="00482ED8"/>
    <w:rsid w:val="004A10E2"/>
    <w:rsid w:val="004A72E0"/>
    <w:rsid w:val="004B1F02"/>
    <w:rsid w:val="004B2B5C"/>
    <w:rsid w:val="004B4105"/>
    <w:rsid w:val="004B5DE3"/>
    <w:rsid w:val="004D140A"/>
    <w:rsid w:val="004D4B96"/>
    <w:rsid w:val="004E2DE1"/>
    <w:rsid w:val="004E5558"/>
    <w:rsid w:val="004E5CE3"/>
    <w:rsid w:val="004F175B"/>
    <w:rsid w:val="004F74A4"/>
    <w:rsid w:val="00500EEA"/>
    <w:rsid w:val="00506E21"/>
    <w:rsid w:val="005075CA"/>
    <w:rsid w:val="00507CDB"/>
    <w:rsid w:val="0052136A"/>
    <w:rsid w:val="0053035C"/>
    <w:rsid w:val="005326FF"/>
    <w:rsid w:val="00550CC6"/>
    <w:rsid w:val="005539D8"/>
    <w:rsid w:val="00553A5F"/>
    <w:rsid w:val="005614DB"/>
    <w:rsid w:val="0056334A"/>
    <w:rsid w:val="005729C6"/>
    <w:rsid w:val="0057497D"/>
    <w:rsid w:val="00587D31"/>
    <w:rsid w:val="00594C7C"/>
    <w:rsid w:val="00596F95"/>
    <w:rsid w:val="005A65D6"/>
    <w:rsid w:val="005A736A"/>
    <w:rsid w:val="005B5397"/>
    <w:rsid w:val="005C3996"/>
    <w:rsid w:val="005C5242"/>
    <w:rsid w:val="005E109D"/>
    <w:rsid w:val="005E486F"/>
    <w:rsid w:val="005E4F4C"/>
    <w:rsid w:val="005E596C"/>
    <w:rsid w:val="005F1B7C"/>
    <w:rsid w:val="005F4C33"/>
    <w:rsid w:val="005F5E33"/>
    <w:rsid w:val="005F7F58"/>
    <w:rsid w:val="0061186B"/>
    <w:rsid w:val="006120C7"/>
    <w:rsid w:val="006126C3"/>
    <w:rsid w:val="00614194"/>
    <w:rsid w:val="00616A30"/>
    <w:rsid w:val="006257A6"/>
    <w:rsid w:val="00626A80"/>
    <w:rsid w:val="0063155C"/>
    <w:rsid w:val="006371B6"/>
    <w:rsid w:val="006375E3"/>
    <w:rsid w:val="006423D6"/>
    <w:rsid w:val="00642A43"/>
    <w:rsid w:val="00647BAA"/>
    <w:rsid w:val="006531CD"/>
    <w:rsid w:val="00656619"/>
    <w:rsid w:val="00657DDC"/>
    <w:rsid w:val="006634FE"/>
    <w:rsid w:val="00664FEA"/>
    <w:rsid w:val="00670370"/>
    <w:rsid w:val="00674332"/>
    <w:rsid w:val="00676969"/>
    <w:rsid w:val="00680407"/>
    <w:rsid w:val="00684847"/>
    <w:rsid w:val="00690238"/>
    <w:rsid w:val="006950BA"/>
    <w:rsid w:val="006978B3"/>
    <w:rsid w:val="006A7309"/>
    <w:rsid w:val="006B6D1A"/>
    <w:rsid w:val="006C2C48"/>
    <w:rsid w:val="006C3332"/>
    <w:rsid w:val="006C361B"/>
    <w:rsid w:val="006D263A"/>
    <w:rsid w:val="006D6283"/>
    <w:rsid w:val="006D6717"/>
    <w:rsid w:val="006E61B9"/>
    <w:rsid w:val="006F2BA8"/>
    <w:rsid w:val="006F410B"/>
    <w:rsid w:val="007031DB"/>
    <w:rsid w:val="007072CE"/>
    <w:rsid w:val="0071017D"/>
    <w:rsid w:val="0071798E"/>
    <w:rsid w:val="00720D6C"/>
    <w:rsid w:val="007338E8"/>
    <w:rsid w:val="00735E7D"/>
    <w:rsid w:val="00744A9D"/>
    <w:rsid w:val="00746A22"/>
    <w:rsid w:val="00760AA7"/>
    <w:rsid w:val="00767446"/>
    <w:rsid w:val="00770CB8"/>
    <w:rsid w:val="007711E8"/>
    <w:rsid w:val="00775BAC"/>
    <w:rsid w:val="00780D50"/>
    <w:rsid w:val="007824A4"/>
    <w:rsid w:val="0079149F"/>
    <w:rsid w:val="00791E76"/>
    <w:rsid w:val="007A0E16"/>
    <w:rsid w:val="007A458C"/>
    <w:rsid w:val="007B0EF6"/>
    <w:rsid w:val="007B7CD3"/>
    <w:rsid w:val="007C07F3"/>
    <w:rsid w:val="007C29B5"/>
    <w:rsid w:val="007C35AF"/>
    <w:rsid w:val="007C7DE2"/>
    <w:rsid w:val="007D0821"/>
    <w:rsid w:val="007D794D"/>
    <w:rsid w:val="007E5806"/>
    <w:rsid w:val="007E7AD5"/>
    <w:rsid w:val="007F0820"/>
    <w:rsid w:val="007F5C3A"/>
    <w:rsid w:val="008050DD"/>
    <w:rsid w:val="00810AE3"/>
    <w:rsid w:val="008112C4"/>
    <w:rsid w:val="00820E42"/>
    <w:rsid w:val="00821700"/>
    <w:rsid w:val="00830E89"/>
    <w:rsid w:val="0083128A"/>
    <w:rsid w:val="00831531"/>
    <w:rsid w:val="00833628"/>
    <w:rsid w:val="00835CA9"/>
    <w:rsid w:val="008406DD"/>
    <w:rsid w:val="0084145D"/>
    <w:rsid w:val="00845F59"/>
    <w:rsid w:val="008470B8"/>
    <w:rsid w:val="00847B94"/>
    <w:rsid w:val="008571B5"/>
    <w:rsid w:val="00857D01"/>
    <w:rsid w:val="008602D1"/>
    <w:rsid w:val="00864FB9"/>
    <w:rsid w:val="00866544"/>
    <w:rsid w:val="008730FB"/>
    <w:rsid w:val="00880DF8"/>
    <w:rsid w:val="00885787"/>
    <w:rsid w:val="00886468"/>
    <w:rsid w:val="00886614"/>
    <w:rsid w:val="00887014"/>
    <w:rsid w:val="0088789C"/>
    <w:rsid w:val="008953B3"/>
    <w:rsid w:val="008954FB"/>
    <w:rsid w:val="008A4FD0"/>
    <w:rsid w:val="008B274C"/>
    <w:rsid w:val="008B3297"/>
    <w:rsid w:val="008C0439"/>
    <w:rsid w:val="008C4369"/>
    <w:rsid w:val="008D210D"/>
    <w:rsid w:val="008D4398"/>
    <w:rsid w:val="008E230E"/>
    <w:rsid w:val="00902E6D"/>
    <w:rsid w:val="009151C9"/>
    <w:rsid w:val="0091731D"/>
    <w:rsid w:val="00922265"/>
    <w:rsid w:val="00927645"/>
    <w:rsid w:val="00943641"/>
    <w:rsid w:val="00953C97"/>
    <w:rsid w:val="00954442"/>
    <w:rsid w:val="009561E5"/>
    <w:rsid w:val="009623E6"/>
    <w:rsid w:val="00972244"/>
    <w:rsid w:val="0097316C"/>
    <w:rsid w:val="0099064E"/>
    <w:rsid w:val="009B0492"/>
    <w:rsid w:val="009B569E"/>
    <w:rsid w:val="009C1ACF"/>
    <w:rsid w:val="009C4EBC"/>
    <w:rsid w:val="009D37FC"/>
    <w:rsid w:val="009D6CA2"/>
    <w:rsid w:val="009E02D6"/>
    <w:rsid w:val="009E1A96"/>
    <w:rsid w:val="009E28AF"/>
    <w:rsid w:val="009E57B4"/>
    <w:rsid w:val="009F01D6"/>
    <w:rsid w:val="009F0F33"/>
    <w:rsid w:val="009F19E0"/>
    <w:rsid w:val="009F57CF"/>
    <w:rsid w:val="00A01F31"/>
    <w:rsid w:val="00A17541"/>
    <w:rsid w:val="00A2013A"/>
    <w:rsid w:val="00A3048B"/>
    <w:rsid w:val="00A401F4"/>
    <w:rsid w:val="00A45AF5"/>
    <w:rsid w:val="00A5369C"/>
    <w:rsid w:val="00A635CD"/>
    <w:rsid w:val="00A64078"/>
    <w:rsid w:val="00A66F78"/>
    <w:rsid w:val="00A674B9"/>
    <w:rsid w:val="00A80978"/>
    <w:rsid w:val="00A80F15"/>
    <w:rsid w:val="00A819CD"/>
    <w:rsid w:val="00A834F2"/>
    <w:rsid w:val="00A87CEE"/>
    <w:rsid w:val="00A930F7"/>
    <w:rsid w:val="00A942A7"/>
    <w:rsid w:val="00A94F01"/>
    <w:rsid w:val="00AB07BC"/>
    <w:rsid w:val="00AC3A20"/>
    <w:rsid w:val="00AD04DC"/>
    <w:rsid w:val="00AD3F79"/>
    <w:rsid w:val="00AE0CB0"/>
    <w:rsid w:val="00B03268"/>
    <w:rsid w:val="00B10CC8"/>
    <w:rsid w:val="00B148BD"/>
    <w:rsid w:val="00B152F7"/>
    <w:rsid w:val="00B24800"/>
    <w:rsid w:val="00B33E9B"/>
    <w:rsid w:val="00B464B7"/>
    <w:rsid w:val="00B465AA"/>
    <w:rsid w:val="00B522C7"/>
    <w:rsid w:val="00B52D31"/>
    <w:rsid w:val="00B5783C"/>
    <w:rsid w:val="00B70505"/>
    <w:rsid w:val="00B72C3A"/>
    <w:rsid w:val="00B84C02"/>
    <w:rsid w:val="00B84F15"/>
    <w:rsid w:val="00B864A0"/>
    <w:rsid w:val="00B92A71"/>
    <w:rsid w:val="00BA05F7"/>
    <w:rsid w:val="00BA6541"/>
    <w:rsid w:val="00BA6F0B"/>
    <w:rsid w:val="00BB1C16"/>
    <w:rsid w:val="00BB2E1E"/>
    <w:rsid w:val="00BB3E6D"/>
    <w:rsid w:val="00BC1089"/>
    <w:rsid w:val="00BC4506"/>
    <w:rsid w:val="00BC63B5"/>
    <w:rsid w:val="00BD3EB3"/>
    <w:rsid w:val="00BE1A37"/>
    <w:rsid w:val="00BE2179"/>
    <w:rsid w:val="00BE3068"/>
    <w:rsid w:val="00BE3299"/>
    <w:rsid w:val="00BF6156"/>
    <w:rsid w:val="00C035C2"/>
    <w:rsid w:val="00C04976"/>
    <w:rsid w:val="00C0787C"/>
    <w:rsid w:val="00C14790"/>
    <w:rsid w:val="00C233D7"/>
    <w:rsid w:val="00C30D84"/>
    <w:rsid w:val="00C31941"/>
    <w:rsid w:val="00C467E8"/>
    <w:rsid w:val="00C46F12"/>
    <w:rsid w:val="00C471C0"/>
    <w:rsid w:val="00C47481"/>
    <w:rsid w:val="00C60185"/>
    <w:rsid w:val="00C63D0F"/>
    <w:rsid w:val="00C86420"/>
    <w:rsid w:val="00C94B41"/>
    <w:rsid w:val="00C94B83"/>
    <w:rsid w:val="00C94C36"/>
    <w:rsid w:val="00C96A6C"/>
    <w:rsid w:val="00CA09D6"/>
    <w:rsid w:val="00CA2D1F"/>
    <w:rsid w:val="00CB02A8"/>
    <w:rsid w:val="00CD2F6B"/>
    <w:rsid w:val="00CE4A3D"/>
    <w:rsid w:val="00D025F4"/>
    <w:rsid w:val="00D117D2"/>
    <w:rsid w:val="00D128E6"/>
    <w:rsid w:val="00D12FEF"/>
    <w:rsid w:val="00D1624D"/>
    <w:rsid w:val="00D2005A"/>
    <w:rsid w:val="00D205AF"/>
    <w:rsid w:val="00D21CC3"/>
    <w:rsid w:val="00D275DE"/>
    <w:rsid w:val="00D30D0F"/>
    <w:rsid w:val="00D37E87"/>
    <w:rsid w:val="00D4171D"/>
    <w:rsid w:val="00D43107"/>
    <w:rsid w:val="00D47A74"/>
    <w:rsid w:val="00D61172"/>
    <w:rsid w:val="00D614E2"/>
    <w:rsid w:val="00D653D3"/>
    <w:rsid w:val="00D66AE7"/>
    <w:rsid w:val="00D67137"/>
    <w:rsid w:val="00D70FE3"/>
    <w:rsid w:val="00D72346"/>
    <w:rsid w:val="00D80E5D"/>
    <w:rsid w:val="00D92DFE"/>
    <w:rsid w:val="00D944A0"/>
    <w:rsid w:val="00DA0A9E"/>
    <w:rsid w:val="00DA0C0A"/>
    <w:rsid w:val="00DA5CCA"/>
    <w:rsid w:val="00DA60F8"/>
    <w:rsid w:val="00DB4F3C"/>
    <w:rsid w:val="00DB607D"/>
    <w:rsid w:val="00DB6438"/>
    <w:rsid w:val="00DC2F9B"/>
    <w:rsid w:val="00DC46A2"/>
    <w:rsid w:val="00DC7975"/>
    <w:rsid w:val="00DD1F11"/>
    <w:rsid w:val="00DD5DF8"/>
    <w:rsid w:val="00DF136F"/>
    <w:rsid w:val="00DF3BC5"/>
    <w:rsid w:val="00DF63EE"/>
    <w:rsid w:val="00E10F2D"/>
    <w:rsid w:val="00E10F48"/>
    <w:rsid w:val="00E11EEA"/>
    <w:rsid w:val="00E12092"/>
    <w:rsid w:val="00E2392D"/>
    <w:rsid w:val="00E268F4"/>
    <w:rsid w:val="00E34294"/>
    <w:rsid w:val="00E34FC9"/>
    <w:rsid w:val="00E42F92"/>
    <w:rsid w:val="00E46CBA"/>
    <w:rsid w:val="00E50308"/>
    <w:rsid w:val="00E51E26"/>
    <w:rsid w:val="00E63624"/>
    <w:rsid w:val="00E64A30"/>
    <w:rsid w:val="00E66039"/>
    <w:rsid w:val="00E66752"/>
    <w:rsid w:val="00E84AB8"/>
    <w:rsid w:val="00E8713E"/>
    <w:rsid w:val="00E928B8"/>
    <w:rsid w:val="00E92D87"/>
    <w:rsid w:val="00E93AF2"/>
    <w:rsid w:val="00E93C26"/>
    <w:rsid w:val="00E96D6C"/>
    <w:rsid w:val="00EB020F"/>
    <w:rsid w:val="00EB4C82"/>
    <w:rsid w:val="00EB4CB6"/>
    <w:rsid w:val="00EC2174"/>
    <w:rsid w:val="00EC651B"/>
    <w:rsid w:val="00ED4172"/>
    <w:rsid w:val="00EE0FE2"/>
    <w:rsid w:val="00EF1F2C"/>
    <w:rsid w:val="00EF45FF"/>
    <w:rsid w:val="00EF4656"/>
    <w:rsid w:val="00F010C3"/>
    <w:rsid w:val="00F148DE"/>
    <w:rsid w:val="00F16E22"/>
    <w:rsid w:val="00F203B5"/>
    <w:rsid w:val="00F21E46"/>
    <w:rsid w:val="00F33A55"/>
    <w:rsid w:val="00F50A1D"/>
    <w:rsid w:val="00F6383E"/>
    <w:rsid w:val="00F66BA8"/>
    <w:rsid w:val="00F70B85"/>
    <w:rsid w:val="00F73EC7"/>
    <w:rsid w:val="00F83071"/>
    <w:rsid w:val="00F87130"/>
    <w:rsid w:val="00F924DA"/>
    <w:rsid w:val="00F94F14"/>
    <w:rsid w:val="00F95DFC"/>
    <w:rsid w:val="00FA1377"/>
    <w:rsid w:val="00FA2445"/>
    <w:rsid w:val="00FA3FAA"/>
    <w:rsid w:val="00FA4B24"/>
    <w:rsid w:val="00FB4B08"/>
    <w:rsid w:val="00FB5139"/>
    <w:rsid w:val="00FD6C7C"/>
    <w:rsid w:val="00FE1977"/>
    <w:rsid w:val="00FE3C0E"/>
    <w:rsid w:val="00FE5DCA"/>
    <w:rsid w:val="00FF0855"/>
    <w:rsid w:val="00FF0D6D"/>
    <w:rsid w:val="01A21398"/>
    <w:rsid w:val="01C254C9"/>
    <w:rsid w:val="01F3586D"/>
    <w:rsid w:val="024A1235"/>
    <w:rsid w:val="027948D4"/>
    <w:rsid w:val="02897137"/>
    <w:rsid w:val="02BE798E"/>
    <w:rsid w:val="03312D1C"/>
    <w:rsid w:val="033F74FD"/>
    <w:rsid w:val="03956FE3"/>
    <w:rsid w:val="04757AED"/>
    <w:rsid w:val="04802F00"/>
    <w:rsid w:val="04B27A09"/>
    <w:rsid w:val="04E64D34"/>
    <w:rsid w:val="05293137"/>
    <w:rsid w:val="053C3A93"/>
    <w:rsid w:val="05715EB9"/>
    <w:rsid w:val="05F43075"/>
    <w:rsid w:val="060C5DE2"/>
    <w:rsid w:val="06450E0A"/>
    <w:rsid w:val="065A7CDF"/>
    <w:rsid w:val="068B3DC1"/>
    <w:rsid w:val="06D57FCA"/>
    <w:rsid w:val="07236EE6"/>
    <w:rsid w:val="07790AE8"/>
    <w:rsid w:val="07A03D32"/>
    <w:rsid w:val="07AD1651"/>
    <w:rsid w:val="07B6200C"/>
    <w:rsid w:val="07DC6755"/>
    <w:rsid w:val="080C610D"/>
    <w:rsid w:val="086707CA"/>
    <w:rsid w:val="08925871"/>
    <w:rsid w:val="08A11AE3"/>
    <w:rsid w:val="08AC4AEF"/>
    <w:rsid w:val="08BE1A35"/>
    <w:rsid w:val="08C908DE"/>
    <w:rsid w:val="09046729"/>
    <w:rsid w:val="090E7588"/>
    <w:rsid w:val="091A0C70"/>
    <w:rsid w:val="09C32885"/>
    <w:rsid w:val="09E912A2"/>
    <w:rsid w:val="0A2C7E95"/>
    <w:rsid w:val="0A766824"/>
    <w:rsid w:val="0AA82E61"/>
    <w:rsid w:val="0AB315CA"/>
    <w:rsid w:val="0AD51416"/>
    <w:rsid w:val="0B0A587E"/>
    <w:rsid w:val="0B4E5691"/>
    <w:rsid w:val="0B5D7E36"/>
    <w:rsid w:val="0B68443B"/>
    <w:rsid w:val="0BA73328"/>
    <w:rsid w:val="0BF54E96"/>
    <w:rsid w:val="0BFE104D"/>
    <w:rsid w:val="0C0F0DEA"/>
    <w:rsid w:val="0CA41533"/>
    <w:rsid w:val="0CC66253"/>
    <w:rsid w:val="0CD63762"/>
    <w:rsid w:val="0D765556"/>
    <w:rsid w:val="0DAA16C9"/>
    <w:rsid w:val="0E0D46CF"/>
    <w:rsid w:val="0F20595E"/>
    <w:rsid w:val="0F246602"/>
    <w:rsid w:val="0F34362D"/>
    <w:rsid w:val="0FA351CC"/>
    <w:rsid w:val="0FAB4568"/>
    <w:rsid w:val="0FB343E2"/>
    <w:rsid w:val="0FBF4797"/>
    <w:rsid w:val="0FD23B35"/>
    <w:rsid w:val="100F7B73"/>
    <w:rsid w:val="102C68E2"/>
    <w:rsid w:val="10327D8A"/>
    <w:rsid w:val="10465183"/>
    <w:rsid w:val="10566D86"/>
    <w:rsid w:val="10CC43DF"/>
    <w:rsid w:val="10ED658C"/>
    <w:rsid w:val="12351A13"/>
    <w:rsid w:val="127140C1"/>
    <w:rsid w:val="127D3F57"/>
    <w:rsid w:val="12DC4F80"/>
    <w:rsid w:val="14161FB7"/>
    <w:rsid w:val="142F6A4F"/>
    <w:rsid w:val="145575BD"/>
    <w:rsid w:val="14E02953"/>
    <w:rsid w:val="153D4186"/>
    <w:rsid w:val="15E568F2"/>
    <w:rsid w:val="15F04727"/>
    <w:rsid w:val="16056219"/>
    <w:rsid w:val="16E87BE3"/>
    <w:rsid w:val="179821DF"/>
    <w:rsid w:val="17BE6D09"/>
    <w:rsid w:val="18885A27"/>
    <w:rsid w:val="18A57136"/>
    <w:rsid w:val="19216D25"/>
    <w:rsid w:val="19474673"/>
    <w:rsid w:val="197D14A6"/>
    <w:rsid w:val="19B2375B"/>
    <w:rsid w:val="1A635338"/>
    <w:rsid w:val="1A7946D5"/>
    <w:rsid w:val="1A9222D8"/>
    <w:rsid w:val="1A944EA7"/>
    <w:rsid w:val="1AF7520C"/>
    <w:rsid w:val="1AF81494"/>
    <w:rsid w:val="1B6F6C80"/>
    <w:rsid w:val="1BB67D8C"/>
    <w:rsid w:val="1C0764F8"/>
    <w:rsid w:val="1C0C350D"/>
    <w:rsid w:val="1CF5144C"/>
    <w:rsid w:val="1E1A50E6"/>
    <w:rsid w:val="1E6C5F89"/>
    <w:rsid w:val="1E7B70DC"/>
    <w:rsid w:val="1E9547AD"/>
    <w:rsid w:val="1EC85675"/>
    <w:rsid w:val="1EEF30DF"/>
    <w:rsid w:val="1F4248D7"/>
    <w:rsid w:val="1F7C3507"/>
    <w:rsid w:val="1F98740E"/>
    <w:rsid w:val="1FB01CAD"/>
    <w:rsid w:val="1FCD6A0E"/>
    <w:rsid w:val="20300DFA"/>
    <w:rsid w:val="210D47BC"/>
    <w:rsid w:val="21D17252"/>
    <w:rsid w:val="22291EA3"/>
    <w:rsid w:val="228B6715"/>
    <w:rsid w:val="231A23C4"/>
    <w:rsid w:val="23262755"/>
    <w:rsid w:val="232A1961"/>
    <w:rsid w:val="2331068F"/>
    <w:rsid w:val="236335DC"/>
    <w:rsid w:val="241B792C"/>
    <w:rsid w:val="24E54391"/>
    <w:rsid w:val="25131AB8"/>
    <w:rsid w:val="252F275D"/>
    <w:rsid w:val="253B4736"/>
    <w:rsid w:val="258F7F1B"/>
    <w:rsid w:val="25AB3949"/>
    <w:rsid w:val="25F80BC2"/>
    <w:rsid w:val="26372D9A"/>
    <w:rsid w:val="26B2526A"/>
    <w:rsid w:val="270D3B70"/>
    <w:rsid w:val="27650FA0"/>
    <w:rsid w:val="27A12CDD"/>
    <w:rsid w:val="27FD2A65"/>
    <w:rsid w:val="28273DE6"/>
    <w:rsid w:val="287E2E9E"/>
    <w:rsid w:val="288623B0"/>
    <w:rsid w:val="294D0AEB"/>
    <w:rsid w:val="29D1501A"/>
    <w:rsid w:val="29D96D82"/>
    <w:rsid w:val="2A6D77B0"/>
    <w:rsid w:val="2A9F30BB"/>
    <w:rsid w:val="2B711F18"/>
    <w:rsid w:val="2B754D6D"/>
    <w:rsid w:val="2BE17C9C"/>
    <w:rsid w:val="2BFAE60B"/>
    <w:rsid w:val="2BFB0E0D"/>
    <w:rsid w:val="2C382E0F"/>
    <w:rsid w:val="2D066040"/>
    <w:rsid w:val="2D3E5C23"/>
    <w:rsid w:val="2D935E05"/>
    <w:rsid w:val="2DA958A2"/>
    <w:rsid w:val="2DC8486F"/>
    <w:rsid w:val="2E166EE0"/>
    <w:rsid w:val="2E747D7E"/>
    <w:rsid w:val="2EDFB7C4"/>
    <w:rsid w:val="2F462AF8"/>
    <w:rsid w:val="2F6B4D8D"/>
    <w:rsid w:val="2F7E7496"/>
    <w:rsid w:val="2F810F0C"/>
    <w:rsid w:val="2FA123DB"/>
    <w:rsid w:val="2FCD1074"/>
    <w:rsid w:val="30351B52"/>
    <w:rsid w:val="30FB47BA"/>
    <w:rsid w:val="314378A7"/>
    <w:rsid w:val="32157406"/>
    <w:rsid w:val="324D609A"/>
    <w:rsid w:val="32711A0A"/>
    <w:rsid w:val="327464D4"/>
    <w:rsid w:val="32767D44"/>
    <w:rsid w:val="32F76E98"/>
    <w:rsid w:val="33AC5403"/>
    <w:rsid w:val="33C63C0A"/>
    <w:rsid w:val="34117AE0"/>
    <w:rsid w:val="34C275EB"/>
    <w:rsid w:val="354A73B8"/>
    <w:rsid w:val="358E50D4"/>
    <w:rsid w:val="3599332F"/>
    <w:rsid w:val="35C027E2"/>
    <w:rsid w:val="36205A07"/>
    <w:rsid w:val="36860351"/>
    <w:rsid w:val="36C85DCF"/>
    <w:rsid w:val="378613C4"/>
    <w:rsid w:val="37BBD530"/>
    <w:rsid w:val="385867AA"/>
    <w:rsid w:val="38923B16"/>
    <w:rsid w:val="38B85E6D"/>
    <w:rsid w:val="39EA031B"/>
    <w:rsid w:val="39ED506D"/>
    <w:rsid w:val="3A531D04"/>
    <w:rsid w:val="3A703A77"/>
    <w:rsid w:val="3A9B21A3"/>
    <w:rsid w:val="3B0648DE"/>
    <w:rsid w:val="3BDF7AFA"/>
    <w:rsid w:val="3C5E36A5"/>
    <w:rsid w:val="3CE416EE"/>
    <w:rsid w:val="3D8F368A"/>
    <w:rsid w:val="3DAA57C2"/>
    <w:rsid w:val="3E192D53"/>
    <w:rsid w:val="3E710A86"/>
    <w:rsid w:val="3E721ED3"/>
    <w:rsid w:val="3EBE5527"/>
    <w:rsid w:val="3F0563C2"/>
    <w:rsid w:val="3F262063"/>
    <w:rsid w:val="3F6A7E44"/>
    <w:rsid w:val="3FB731D1"/>
    <w:rsid w:val="3FE42B9B"/>
    <w:rsid w:val="40201971"/>
    <w:rsid w:val="407E110D"/>
    <w:rsid w:val="40D042D2"/>
    <w:rsid w:val="40E31AE9"/>
    <w:rsid w:val="412D7912"/>
    <w:rsid w:val="41435D62"/>
    <w:rsid w:val="4163584B"/>
    <w:rsid w:val="419227A9"/>
    <w:rsid w:val="41DB65F9"/>
    <w:rsid w:val="41F34771"/>
    <w:rsid w:val="420D786B"/>
    <w:rsid w:val="42E53EDB"/>
    <w:rsid w:val="430513C8"/>
    <w:rsid w:val="439F001A"/>
    <w:rsid w:val="44AD7344"/>
    <w:rsid w:val="44F505AC"/>
    <w:rsid w:val="45AD2568"/>
    <w:rsid w:val="46052B98"/>
    <w:rsid w:val="465E77A5"/>
    <w:rsid w:val="46BA336E"/>
    <w:rsid w:val="4778741E"/>
    <w:rsid w:val="47847F9D"/>
    <w:rsid w:val="47A41F8D"/>
    <w:rsid w:val="47EC49EE"/>
    <w:rsid w:val="48716D53"/>
    <w:rsid w:val="489640E7"/>
    <w:rsid w:val="490B2D05"/>
    <w:rsid w:val="49E066E4"/>
    <w:rsid w:val="4A4C5CEA"/>
    <w:rsid w:val="4A517D95"/>
    <w:rsid w:val="4B186C9D"/>
    <w:rsid w:val="4BCE694B"/>
    <w:rsid w:val="4BD31383"/>
    <w:rsid w:val="4BD45071"/>
    <w:rsid w:val="4C8C114E"/>
    <w:rsid w:val="4CE7736B"/>
    <w:rsid w:val="4D2856F5"/>
    <w:rsid w:val="4D2B1E92"/>
    <w:rsid w:val="4D6357C6"/>
    <w:rsid w:val="4E5F7F06"/>
    <w:rsid w:val="4E611AAE"/>
    <w:rsid w:val="4E670101"/>
    <w:rsid w:val="4F153FAA"/>
    <w:rsid w:val="4F316F83"/>
    <w:rsid w:val="4F35400C"/>
    <w:rsid w:val="4F5D2811"/>
    <w:rsid w:val="4FCC5272"/>
    <w:rsid w:val="50575E5C"/>
    <w:rsid w:val="51065165"/>
    <w:rsid w:val="51566CE0"/>
    <w:rsid w:val="51B67BFB"/>
    <w:rsid w:val="51E44348"/>
    <w:rsid w:val="524A4BB6"/>
    <w:rsid w:val="52CC71A4"/>
    <w:rsid w:val="52E944ED"/>
    <w:rsid w:val="52F31BDB"/>
    <w:rsid w:val="53361908"/>
    <w:rsid w:val="533B2301"/>
    <w:rsid w:val="537C4205"/>
    <w:rsid w:val="53BB51B3"/>
    <w:rsid w:val="53DB37C2"/>
    <w:rsid w:val="54062BA0"/>
    <w:rsid w:val="540E2287"/>
    <w:rsid w:val="543619EE"/>
    <w:rsid w:val="55224622"/>
    <w:rsid w:val="5558738F"/>
    <w:rsid w:val="55A849B1"/>
    <w:rsid w:val="561E0901"/>
    <w:rsid w:val="568B78FF"/>
    <w:rsid w:val="573B7E97"/>
    <w:rsid w:val="573D7674"/>
    <w:rsid w:val="579C0E89"/>
    <w:rsid w:val="57FFE606"/>
    <w:rsid w:val="587552C5"/>
    <w:rsid w:val="59105FEB"/>
    <w:rsid w:val="596535F9"/>
    <w:rsid w:val="59873EF0"/>
    <w:rsid w:val="59DE5F93"/>
    <w:rsid w:val="5A0B2FC3"/>
    <w:rsid w:val="5A1E0CCA"/>
    <w:rsid w:val="5A6E3DBD"/>
    <w:rsid w:val="5AE2046E"/>
    <w:rsid w:val="5B0C2FE0"/>
    <w:rsid w:val="5B7378C3"/>
    <w:rsid w:val="5BD90656"/>
    <w:rsid w:val="5BDA7ED9"/>
    <w:rsid w:val="5BDF3252"/>
    <w:rsid w:val="5BE30C7F"/>
    <w:rsid w:val="5C587590"/>
    <w:rsid w:val="5C6B7AD8"/>
    <w:rsid w:val="5C757D60"/>
    <w:rsid w:val="5C772CF2"/>
    <w:rsid w:val="5C8624BD"/>
    <w:rsid w:val="5CDA5BE3"/>
    <w:rsid w:val="5E10671F"/>
    <w:rsid w:val="5E1239CE"/>
    <w:rsid w:val="5E7123BE"/>
    <w:rsid w:val="5EDC652D"/>
    <w:rsid w:val="5EE64EF8"/>
    <w:rsid w:val="5EFA2E50"/>
    <w:rsid w:val="5EFD139A"/>
    <w:rsid w:val="5F32109A"/>
    <w:rsid w:val="5FBF6D5F"/>
    <w:rsid w:val="5FDB29BD"/>
    <w:rsid w:val="602D7A6E"/>
    <w:rsid w:val="60731F35"/>
    <w:rsid w:val="60D53E7C"/>
    <w:rsid w:val="6143016A"/>
    <w:rsid w:val="614E14DD"/>
    <w:rsid w:val="615276B7"/>
    <w:rsid w:val="615775E4"/>
    <w:rsid w:val="617417D9"/>
    <w:rsid w:val="620C451E"/>
    <w:rsid w:val="625008CA"/>
    <w:rsid w:val="632F60F4"/>
    <w:rsid w:val="63374A2F"/>
    <w:rsid w:val="6348419C"/>
    <w:rsid w:val="63CB0718"/>
    <w:rsid w:val="63DB4897"/>
    <w:rsid w:val="640D0177"/>
    <w:rsid w:val="64A82803"/>
    <w:rsid w:val="64AE611B"/>
    <w:rsid w:val="64D21DA6"/>
    <w:rsid w:val="6512599C"/>
    <w:rsid w:val="6546198A"/>
    <w:rsid w:val="654D1342"/>
    <w:rsid w:val="65AB4088"/>
    <w:rsid w:val="65B24C6A"/>
    <w:rsid w:val="65D82280"/>
    <w:rsid w:val="663D153B"/>
    <w:rsid w:val="665F558D"/>
    <w:rsid w:val="668A1AD5"/>
    <w:rsid w:val="66CE420F"/>
    <w:rsid w:val="67544DB2"/>
    <w:rsid w:val="68103478"/>
    <w:rsid w:val="685626A2"/>
    <w:rsid w:val="689D1CE4"/>
    <w:rsid w:val="68DD6421"/>
    <w:rsid w:val="69073364"/>
    <w:rsid w:val="694A1D75"/>
    <w:rsid w:val="6972547B"/>
    <w:rsid w:val="69943DC7"/>
    <w:rsid w:val="6A0A47DA"/>
    <w:rsid w:val="6A9410B9"/>
    <w:rsid w:val="6AB35AF8"/>
    <w:rsid w:val="6AB71646"/>
    <w:rsid w:val="6ADC4E0C"/>
    <w:rsid w:val="6B563858"/>
    <w:rsid w:val="6BD51144"/>
    <w:rsid w:val="6BEE1689"/>
    <w:rsid w:val="6BFA618C"/>
    <w:rsid w:val="6BFD425C"/>
    <w:rsid w:val="6C2424A3"/>
    <w:rsid w:val="6CC03C4E"/>
    <w:rsid w:val="6D174EEB"/>
    <w:rsid w:val="6D2B441C"/>
    <w:rsid w:val="6D771245"/>
    <w:rsid w:val="6DA61ECD"/>
    <w:rsid w:val="6DEA59C7"/>
    <w:rsid w:val="6E3543E8"/>
    <w:rsid w:val="6E3A44C9"/>
    <w:rsid w:val="6E646A1A"/>
    <w:rsid w:val="6E9D494D"/>
    <w:rsid w:val="6EB661B8"/>
    <w:rsid w:val="6EE612AB"/>
    <w:rsid w:val="6F014D14"/>
    <w:rsid w:val="6F336585"/>
    <w:rsid w:val="70371383"/>
    <w:rsid w:val="7040446C"/>
    <w:rsid w:val="71495229"/>
    <w:rsid w:val="718307A1"/>
    <w:rsid w:val="71DF7EAE"/>
    <w:rsid w:val="724D733A"/>
    <w:rsid w:val="72C97E75"/>
    <w:rsid w:val="72F93489"/>
    <w:rsid w:val="732937B2"/>
    <w:rsid w:val="73842D62"/>
    <w:rsid w:val="7394693B"/>
    <w:rsid w:val="739A4A48"/>
    <w:rsid w:val="7494288E"/>
    <w:rsid w:val="74E64D1B"/>
    <w:rsid w:val="75126C09"/>
    <w:rsid w:val="75D11BC7"/>
    <w:rsid w:val="76264D6F"/>
    <w:rsid w:val="76785B3C"/>
    <w:rsid w:val="769961CA"/>
    <w:rsid w:val="77ADE88B"/>
    <w:rsid w:val="77B86058"/>
    <w:rsid w:val="77D7136F"/>
    <w:rsid w:val="77F5456F"/>
    <w:rsid w:val="780E490D"/>
    <w:rsid w:val="78CA3DC6"/>
    <w:rsid w:val="792D5B67"/>
    <w:rsid w:val="79E841A6"/>
    <w:rsid w:val="7A014DB4"/>
    <w:rsid w:val="7A233062"/>
    <w:rsid w:val="7A4A26B0"/>
    <w:rsid w:val="7A754D2D"/>
    <w:rsid w:val="7AC52A39"/>
    <w:rsid w:val="7BA24617"/>
    <w:rsid w:val="7BE25A3F"/>
    <w:rsid w:val="7BED4868"/>
    <w:rsid w:val="7C3741DA"/>
    <w:rsid w:val="7C7921F7"/>
    <w:rsid w:val="7CC9480F"/>
    <w:rsid w:val="7D8A35AE"/>
    <w:rsid w:val="7E33248E"/>
    <w:rsid w:val="7E747DEE"/>
    <w:rsid w:val="7E883078"/>
    <w:rsid w:val="7EB76345"/>
    <w:rsid w:val="7EF26EC5"/>
    <w:rsid w:val="7F7C2149"/>
    <w:rsid w:val="7FD70B48"/>
    <w:rsid w:val="7FE74350"/>
    <w:rsid w:val="7FED4E79"/>
    <w:rsid w:val="9E44D914"/>
    <w:rsid w:val="9FCF2781"/>
    <w:rsid w:val="BFF345DA"/>
    <w:rsid w:val="BFF75EFC"/>
    <w:rsid w:val="EACD47BA"/>
    <w:rsid w:val="F37BDE53"/>
    <w:rsid w:val="FA4F3F97"/>
    <w:rsid w:val="FCFF9BBC"/>
    <w:rsid w:val="FF667507"/>
    <w:rsid w:val="FFFF83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nhideWhenUsed/>
    <w:uiPriority w:val="99"/>
    <w:rPr>
      <w:rFonts w:eastAsia="宋体"/>
      <w:kern w:val="0"/>
      <w:sz w:val="18"/>
      <w:szCs w:val="18"/>
    </w:rPr>
  </w:style>
  <w:style w:type="paragraph" w:styleId="3">
    <w:name w:val="footer"/>
    <w:basedOn w:val="1"/>
    <w:link w:val="9"/>
    <w:unhideWhenUsed/>
    <w:qFormat/>
    <w:uiPriority w:val="99"/>
    <w:pPr>
      <w:tabs>
        <w:tab w:val="center" w:pos="4153"/>
        <w:tab w:val="right" w:pos="8306"/>
      </w:tabs>
      <w:snapToGrid w:val="0"/>
      <w:jc w:val="left"/>
    </w:pPr>
    <w:rPr>
      <w:rFonts w:eastAsia="宋体"/>
      <w:kern w:val="0"/>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5">
    <w:name w:val="Normal (Web)"/>
    <w:basedOn w:val="1"/>
    <w:qFormat/>
    <w:uiPriority w:val="0"/>
    <w:pPr>
      <w:spacing w:beforeAutospacing="1" w:afterAutospacing="1"/>
      <w:jc w:val="left"/>
    </w:pPr>
    <w:rPr>
      <w:kern w:val="0"/>
      <w:sz w:val="24"/>
      <w:szCs w:val="24"/>
    </w:rPr>
  </w:style>
  <w:style w:type="character" w:customStyle="1" w:styleId="8">
    <w:name w:val="批注框文本 字符"/>
    <w:link w:val="2"/>
    <w:semiHidden/>
    <w:uiPriority w:val="99"/>
    <w:rPr>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customStyle="1" w:styleId="11">
    <w:name w:val="列出段落1"/>
    <w:basedOn w:val="1"/>
    <w:qFormat/>
    <w:uiPriority w:val="99"/>
    <w:pPr>
      <w:ind w:firstLine="420" w:firstLineChars="200"/>
    </w:pPr>
  </w:style>
  <w:style w:type="paragraph" w:customStyle="1" w:styleId="12">
    <w:name w:val="正文缩进 + 首行缩进:  2 字符"/>
    <w:basedOn w:val="1"/>
    <w:qFormat/>
    <w:uiPriority w:val="0"/>
    <w:pPr>
      <w:spacing w:line="560" w:lineRule="exact"/>
      <w:ind w:firstLine="640"/>
    </w:pPr>
    <w:rPr>
      <w:rFonts w:ascii="仿宋" w:hAnsi="仿宋" w:eastAsia="仿宋" w:cs="宋体"/>
      <w:szCs w:val="2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B938F-8BC1-4C7F-947A-CA937A1E180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7577</Words>
  <Characters>8683</Characters>
  <Lines>77</Lines>
  <Paragraphs>21</Paragraphs>
  <TotalTime>2</TotalTime>
  <ScaleCrop>false</ScaleCrop>
  <LinksUpToDate>false</LinksUpToDate>
  <CharactersWithSpaces>9217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2022-09-15T14:06:00Z</dcterms:created>
  <dc:creator>AutoBVT</dc:creator>
  <cp:lastModifiedBy>Lenovo</cp:lastModifiedBy>
  <cp:lastPrinted>2021-09-17T13:00:00Z</cp:lastPrinted>
  <dcterms:modified xsi:type="dcterms:W3CDTF">2022-09-20T08:28:51Z</dcterms:modified>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3C2F69EA118D4B67B46184B2E844789E</vt:lpwstr>
  </property>
</Properties>
</file>